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BD" w:rsidRDefault="00B13059" w:rsidP="00115ABD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258FBC1" wp14:editId="3ABEFDB8">
            <wp:simplePos x="0" y="0"/>
            <wp:positionH relativeFrom="column">
              <wp:posOffset>2634615</wp:posOffset>
            </wp:positionH>
            <wp:positionV relativeFrom="paragraph">
              <wp:posOffset>20955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ABD" w:rsidRDefault="00115ABD" w:rsidP="00115ABD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15ABD" w:rsidRDefault="00115ABD" w:rsidP="00115ABD">
      <w:pPr>
        <w:jc w:val="center"/>
        <w:rPr>
          <w:b/>
          <w:sz w:val="28"/>
        </w:rPr>
      </w:pPr>
      <w:r>
        <w:rPr>
          <w:b/>
          <w:sz w:val="28"/>
        </w:rPr>
        <w:t>Иркутской области</w:t>
      </w:r>
    </w:p>
    <w:p w:rsidR="00115ABD" w:rsidRDefault="00115ABD" w:rsidP="00115ABD">
      <w:pPr>
        <w:jc w:val="center"/>
        <w:rPr>
          <w:b/>
          <w:i/>
          <w:sz w:val="28"/>
        </w:rPr>
      </w:pPr>
      <w:r>
        <w:rPr>
          <w:b/>
          <w:sz w:val="28"/>
        </w:rPr>
        <w:t>Слюдянский район</w:t>
      </w:r>
    </w:p>
    <w:p w:rsidR="00115ABD" w:rsidRDefault="00115ABD" w:rsidP="00115ABD">
      <w:pPr>
        <w:jc w:val="center"/>
        <w:rPr>
          <w:b/>
          <w:sz w:val="32"/>
        </w:rPr>
      </w:pPr>
    </w:p>
    <w:p w:rsidR="00866C4D" w:rsidRDefault="00115ABD" w:rsidP="00115ABD">
      <w:pPr>
        <w:jc w:val="center"/>
        <w:rPr>
          <w:b/>
          <w:sz w:val="32"/>
        </w:rPr>
      </w:pPr>
      <w:r>
        <w:rPr>
          <w:b/>
          <w:sz w:val="32"/>
        </w:rPr>
        <w:t xml:space="preserve">ДУМА </w:t>
      </w:r>
      <w:r w:rsidR="00866C4D">
        <w:rPr>
          <w:b/>
          <w:sz w:val="32"/>
        </w:rPr>
        <w:t xml:space="preserve">СЛЮДЯНСКОГО </w:t>
      </w:r>
    </w:p>
    <w:p w:rsidR="00115ABD" w:rsidRDefault="00866C4D" w:rsidP="00115ABD">
      <w:pPr>
        <w:jc w:val="center"/>
        <w:rPr>
          <w:b/>
          <w:sz w:val="32"/>
        </w:rPr>
      </w:pPr>
      <w:r>
        <w:rPr>
          <w:b/>
          <w:sz w:val="32"/>
        </w:rPr>
        <w:t>МУНИЦИПАЛЬНОГО</w:t>
      </w:r>
      <w:r w:rsidR="00115ABD">
        <w:rPr>
          <w:b/>
          <w:sz w:val="32"/>
        </w:rPr>
        <w:t xml:space="preserve"> РАЙОН</w:t>
      </w:r>
      <w:r>
        <w:rPr>
          <w:b/>
          <w:sz w:val="32"/>
        </w:rPr>
        <w:t>А</w:t>
      </w:r>
      <w:r w:rsidR="00115ABD">
        <w:rPr>
          <w:b/>
          <w:sz w:val="32"/>
        </w:rPr>
        <w:t xml:space="preserve"> </w:t>
      </w:r>
    </w:p>
    <w:p w:rsidR="00115ABD" w:rsidRDefault="00115ABD" w:rsidP="00115ABD">
      <w:pPr>
        <w:jc w:val="center"/>
        <w:rPr>
          <w:b/>
          <w:sz w:val="32"/>
        </w:rPr>
      </w:pPr>
    </w:p>
    <w:p w:rsidR="00115ABD" w:rsidRPr="00EB6756" w:rsidRDefault="00115ABD" w:rsidP="00115ABD">
      <w:pPr>
        <w:pStyle w:val="3"/>
        <w:rPr>
          <w:b/>
        </w:rPr>
      </w:pPr>
      <w:proofErr w:type="gramStart"/>
      <w:r w:rsidRPr="00EB6756">
        <w:rPr>
          <w:b/>
        </w:rPr>
        <w:t>Р</w:t>
      </w:r>
      <w:proofErr w:type="gramEnd"/>
      <w:r w:rsidRPr="00EB6756">
        <w:rPr>
          <w:b/>
        </w:rPr>
        <w:t xml:space="preserve"> Е Ш Е Н И Е</w:t>
      </w:r>
    </w:p>
    <w:p w:rsidR="00115ABD" w:rsidRDefault="00115ABD" w:rsidP="00115ABD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115ABD" w:rsidTr="001F6A93">
        <w:tc>
          <w:tcPr>
            <w:tcW w:w="3154" w:type="dxa"/>
          </w:tcPr>
          <w:p w:rsidR="00115ABD" w:rsidRDefault="00115ABD" w:rsidP="001F6A93"/>
        </w:tc>
        <w:tc>
          <w:tcPr>
            <w:tcW w:w="3155" w:type="dxa"/>
          </w:tcPr>
          <w:p w:rsidR="00115ABD" w:rsidRDefault="00115ABD" w:rsidP="001F6A93">
            <w:pPr>
              <w:jc w:val="center"/>
            </w:pPr>
            <w:r>
              <w:t xml:space="preserve">г. Слюдянка </w:t>
            </w:r>
          </w:p>
        </w:tc>
        <w:tc>
          <w:tcPr>
            <w:tcW w:w="3155" w:type="dxa"/>
          </w:tcPr>
          <w:p w:rsidR="00115ABD" w:rsidRDefault="00115ABD" w:rsidP="001F6A93">
            <w:pPr>
              <w:jc w:val="center"/>
            </w:pPr>
          </w:p>
        </w:tc>
      </w:tr>
    </w:tbl>
    <w:p w:rsidR="00115ABD" w:rsidRPr="008D50B8" w:rsidRDefault="00115ABD" w:rsidP="00115ABD">
      <w:pPr>
        <w:rPr>
          <w:b/>
        </w:rPr>
      </w:pPr>
      <w:r w:rsidRPr="008D50B8">
        <w:rPr>
          <w:b/>
        </w:rPr>
        <w:t>Решение принято районной Думой</w:t>
      </w:r>
      <w:r w:rsidR="001F41F3">
        <w:rPr>
          <w:b/>
        </w:rPr>
        <w:t xml:space="preserve"> 31  марта 2022 года</w:t>
      </w:r>
      <w:r w:rsidRPr="008D50B8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115ABD" w:rsidTr="001F6A93">
        <w:tc>
          <w:tcPr>
            <w:tcW w:w="3154" w:type="dxa"/>
          </w:tcPr>
          <w:p w:rsidR="00115ABD" w:rsidRPr="00F215B7" w:rsidRDefault="00115ABD" w:rsidP="001F6A93"/>
        </w:tc>
        <w:tc>
          <w:tcPr>
            <w:tcW w:w="3155" w:type="dxa"/>
          </w:tcPr>
          <w:p w:rsidR="00115ABD" w:rsidRDefault="00115ABD" w:rsidP="001F6A93">
            <w:pPr>
              <w:jc w:val="center"/>
            </w:pPr>
          </w:p>
        </w:tc>
        <w:tc>
          <w:tcPr>
            <w:tcW w:w="3155" w:type="dxa"/>
          </w:tcPr>
          <w:p w:rsidR="00115ABD" w:rsidRDefault="00115ABD" w:rsidP="001F6A93">
            <w:pPr>
              <w:jc w:val="center"/>
            </w:pPr>
          </w:p>
        </w:tc>
      </w:tr>
    </w:tbl>
    <w:p w:rsidR="00115ABD" w:rsidRPr="002C2175" w:rsidRDefault="002A207B" w:rsidP="00847763">
      <w:pPr>
        <w:ind w:right="5386"/>
        <w:jc w:val="both"/>
        <w:rPr>
          <w:sz w:val="23"/>
          <w:szCs w:val="23"/>
        </w:rPr>
      </w:pPr>
      <w:r w:rsidRPr="002C2175">
        <w:rPr>
          <w:sz w:val="23"/>
          <w:szCs w:val="23"/>
        </w:rPr>
        <w:t>О</w:t>
      </w:r>
      <w:r w:rsidR="00D74C3C" w:rsidRPr="002C2175">
        <w:rPr>
          <w:sz w:val="23"/>
          <w:szCs w:val="23"/>
        </w:rPr>
        <w:t>тчет о</w:t>
      </w:r>
      <w:r w:rsidR="00115ABD" w:rsidRPr="002C2175">
        <w:rPr>
          <w:sz w:val="23"/>
          <w:szCs w:val="23"/>
        </w:rPr>
        <w:t xml:space="preserve"> выполнени</w:t>
      </w:r>
      <w:r w:rsidR="00D74C3C" w:rsidRPr="002C2175">
        <w:rPr>
          <w:sz w:val="23"/>
          <w:szCs w:val="23"/>
        </w:rPr>
        <w:t>и мероприятий</w:t>
      </w:r>
      <w:r w:rsidR="00115ABD" w:rsidRPr="002C2175">
        <w:rPr>
          <w:sz w:val="23"/>
          <w:szCs w:val="23"/>
        </w:rPr>
        <w:t xml:space="preserve"> муниципальной  программы «</w:t>
      </w:r>
      <w:r w:rsidR="00847763" w:rsidRPr="002C2175">
        <w:rPr>
          <w:color w:val="000000"/>
          <w:sz w:val="23"/>
          <w:szCs w:val="23"/>
        </w:rPr>
        <w:t xml:space="preserve">«Повышение транспортной доступности, обеспечение условий для реализации потребностей граждан </w:t>
      </w:r>
      <w:proofErr w:type="spellStart"/>
      <w:r w:rsidR="00847763" w:rsidRPr="002C2175">
        <w:rPr>
          <w:color w:val="000000"/>
          <w:sz w:val="23"/>
          <w:szCs w:val="23"/>
        </w:rPr>
        <w:t>Слюдянского</w:t>
      </w:r>
      <w:proofErr w:type="spellEnd"/>
      <w:r w:rsidR="00847763" w:rsidRPr="002C2175">
        <w:rPr>
          <w:color w:val="000000"/>
          <w:sz w:val="23"/>
          <w:szCs w:val="23"/>
        </w:rPr>
        <w:t xml:space="preserve"> муниципального  района в перевозках" на 2019-2024гг.</w:t>
      </w:r>
      <w:r w:rsidR="00115ABD" w:rsidRPr="002C2175">
        <w:rPr>
          <w:sz w:val="23"/>
          <w:szCs w:val="23"/>
        </w:rPr>
        <w:t>»</w:t>
      </w:r>
      <w:r w:rsidR="00DD2107" w:rsidRPr="002C2175">
        <w:rPr>
          <w:sz w:val="23"/>
          <w:szCs w:val="23"/>
        </w:rPr>
        <w:t xml:space="preserve"> за 202</w:t>
      </w:r>
      <w:r w:rsidR="00847763" w:rsidRPr="002C2175">
        <w:rPr>
          <w:sz w:val="23"/>
          <w:szCs w:val="23"/>
        </w:rPr>
        <w:t>1</w:t>
      </w:r>
      <w:r w:rsidR="00DD2107" w:rsidRPr="002C2175">
        <w:rPr>
          <w:sz w:val="23"/>
          <w:szCs w:val="23"/>
        </w:rPr>
        <w:t xml:space="preserve"> год</w:t>
      </w:r>
    </w:p>
    <w:p w:rsidR="00115ABD" w:rsidRPr="002C2175" w:rsidRDefault="00115ABD" w:rsidP="00115ABD">
      <w:pPr>
        <w:jc w:val="both"/>
        <w:rPr>
          <w:sz w:val="23"/>
          <w:szCs w:val="23"/>
        </w:rPr>
      </w:pPr>
      <w:r w:rsidRPr="002C2175">
        <w:rPr>
          <w:sz w:val="23"/>
          <w:szCs w:val="23"/>
        </w:rPr>
        <w:tab/>
      </w:r>
    </w:p>
    <w:p w:rsidR="00115ABD" w:rsidRPr="002C2175" w:rsidRDefault="00115ABD" w:rsidP="00115ABD">
      <w:pPr>
        <w:ind w:firstLine="720"/>
        <w:jc w:val="both"/>
        <w:rPr>
          <w:sz w:val="23"/>
          <w:szCs w:val="23"/>
        </w:rPr>
      </w:pPr>
      <w:r w:rsidRPr="002C2175">
        <w:rPr>
          <w:bCs/>
          <w:sz w:val="23"/>
          <w:szCs w:val="23"/>
        </w:rPr>
        <w:t xml:space="preserve">Заслушав  </w:t>
      </w:r>
      <w:r w:rsidR="00DD2107" w:rsidRPr="002C2175">
        <w:rPr>
          <w:bCs/>
          <w:sz w:val="23"/>
          <w:szCs w:val="23"/>
        </w:rPr>
        <w:t>отчет</w:t>
      </w:r>
      <w:r w:rsidRPr="002C2175">
        <w:rPr>
          <w:bCs/>
          <w:sz w:val="23"/>
          <w:szCs w:val="23"/>
        </w:rPr>
        <w:t xml:space="preserve">  начальника  Управления социально-экономического развития администрации </w:t>
      </w:r>
      <w:proofErr w:type="spellStart"/>
      <w:r w:rsidRPr="002C2175">
        <w:rPr>
          <w:bCs/>
          <w:sz w:val="23"/>
          <w:szCs w:val="23"/>
        </w:rPr>
        <w:t>Слюдянск</w:t>
      </w:r>
      <w:r w:rsidR="00866C4D" w:rsidRPr="002C2175">
        <w:rPr>
          <w:bCs/>
          <w:sz w:val="23"/>
          <w:szCs w:val="23"/>
        </w:rPr>
        <w:t>ого</w:t>
      </w:r>
      <w:proofErr w:type="spellEnd"/>
      <w:r w:rsidR="00866C4D" w:rsidRPr="002C2175">
        <w:rPr>
          <w:bCs/>
          <w:sz w:val="23"/>
          <w:szCs w:val="23"/>
        </w:rPr>
        <w:t xml:space="preserve"> муниципального</w:t>
      </w:r>
      <w:r w:rsidRPr="002C2175">
        <w:rPr>
          <w:bCs/>
          <w:sz w:val="23"/>
          <w:szCs w:val="23"/>
        </w:rPr>
        <w:t xml:space="preserve"> район</w:t>
      </w:r>
      <w:r w:rsidR="00866C4D" w:rsidRPr="002C2175">
        <w:rPr>
          <w:bCs/>
          <w:sz w:val="23"/>
          <w:szCs w:val="23"/>
        </w:rPr>
        <w:t>а</w:t>
      </w:r>
      <w:r w:rsidRPr="002C2175">
        <w:rPr>
          <w:bCs/>
          <w:sz w:val="23"/>
          <w:szCs w:val="23"/>
        </w:rPr>
        <w:t xml:space="preserve"> </w:t>
      </w:r>
      <w:proofErr w:type="spellStart"/>
      <w:r w:rsidRPr="002C2175">
        <w:rPr>
          <w:bCs/>
          <w:sz w:val="23"/>
          <w:szCs w:val="23"/>
        </w:rPr>
        <w:t>Проворовой</w:t>
      </w:r>
      <w:proofErr w:type="spellEnd"/>
      <w:r w:rsidRPr="002C2175">
        <w:rPr>
          <w:bCs/>
          <w:sz w:val="23"/>
          <w:szCs w:val="23"/>
        </w:rPr>
        <w:t xml:space="preserve"> О.В. </w:t>
      </w:r>
      <w:r w:rsidR="00D74C3C" w:rsidRPr="002C2175">
        <w:rPr>
          <w:bCs/>
          <w:sz w:val="23"/>
          <w:szCs w:val="23"/>
        </w:rPr>
        <w:t xml:space="preserve">о выполнении мероприятий </w:t>
      </w:r>
      <w:r w:rsidR="00D74C3C" w:rsidRPr="002C2175">
        <w:rPr>
          <w:sz w:val="23"/>
          <w:szCs w:val="23"/>
        </w:rPr>
        <w:t>муниципальной  программы «</w:t>
      </w:r>
      <w:r w:rsidR="00D74C3C" w:rsidRPr="002C2175">
        <w:rPr>
          <w:color w:val="000000"/>
          <w:sz w:val="23"/>
          <w:szCs w:val="23"/>
        </w:rPr>
        <w:t xml:space="preserve">«Повышение транспортной доступности, </w:t>
      </w:r>
      <w:proofErr w:type="gramStart"/>
      <w:r w:rsidR="00D74C3C" w:rsidRPr="002C2175">
        <w:rPr>
          <w:color w:val="000000"/>
          <w:sz w:val="23"/>
          <w:szCs w:val="23"/>
        </w:rPr>
        <w:t xml:space="preserve">обеспечение условий для реализации потребностей граждан </w:t>
      </w:r>
      <w:proofErr w:type="spellStart"/>
      <w:r w:rsidR="00D74C3C" w:rsidRPr="002C2175">
        <w:rPr>
          <w:color w:val="000000"/>
          <w:sz w:val="23"/>
          <w:szCs w:val="23"/>
        </w:rPr>
        <w:t>Слюдянского</w:t>
      </w:r>
      <w:proofErr w:type="spellEnd"/>
      <w:r w:rsidR="00D74C3C" w:rsidRPr="002C2175">
        <w:rPr>
          <w:color w:val="000000"/>
          <w:sz w:val="23"/>
          <w:szCs w:val="23"/>
        </w:rPr>
        <w:t xml:space="preserve"> муниципального  района в перевозках" на 2019-2024гг.</w:t>
      </w:r>
      <w:r w:rsidR="00D74C3C" w:rsidRPr="002C2175">
        <w:rPr>
          <w:sz w:val="23"/>
          <w:szCs w:val="23"/>
        </w:rPr>
        <w:t>» за 2021 год</w:t>
      </w:r>
      <w:r w:rsidR="00D74C3C" w:rsidRPr="002C2175">
        <w:rPr>
          <w:bCs/>
          <w:sz w:val="23"/>
          <w:szCs w:val="23"/>
        </w:rPr>
        <w:t xml:space="preserve"> </w:t>
      </w:r>
      <w:r w:rsidRPr="002C2175">
        <w:rPr>
          <w:bCs/>
          <w:sz w:val="23"/>
          <w:szCs w:val="23"/>
        </w:rPr>
        <w:t xml:space="preserve">и в целях осуществления координации деятельности и создания условий для взаимодействия органов самоуправления </w:t>
      </w:r>
      <w:proofErr w:type="spellStart"/>
      <w:r w:rsidRPr="002C2175">
        <w:rPr>
          <w:bCs/>
          <w:sz w:val="23"/>
          <w:szCs w:val="23"/>
        </w:rPr>
        <w:t>Слюдянск</w:t>
      </w:r>
      <w:r w:rsidR="00866C4D" w:rsidRPr="002C2175">
        <w:rPr>
          <w:bCs/>
          <w:sz w:val="23"/>
          <w:szCs w:val="23"/>
        </w:rPr>
        <w:t>ого</w:t>
      </w:r>
      <w:proofErr w:type="spellEnd"/>
      <w:r w:rsidR="00866C4D" w:rsidRPr="002C2175">
        <w:rPr>
          <w:bCs/>
          <w:sz w:val="23"/>
          <w:szCs w:val="23"/>
        </w:rPr>
        <w:t xml:space="preserve"> муниципального</w:t>
      </w:r>
      <w:r w:rsidRPr="002C2175">
        <w:rPr>
          <w:bCs/>
          <w:sz w:val="23"/>
          <w:szCs w:val="23"/>
        </w:rPr>
        <w:t xml:space="preserve"> район</w:t>
      </w:r>
      <w:r w:rsidR="00866C4D" w:rsidRPr="002C2175">
        <w:rPr>
          <w:bCs/>
          <w:sz w:val="23"/>
          <w:szCs w:val="23"/>
        </w:rPr>
        <w:t>а</w:t>
      </w:r>
      <w:r w:rsidRPr="002C2175">
        <w:rPr>
          <w:bCs/>
          <w:sz w:val="23"/>
          <w:szCs w:val="23"/>
        </w:rPr>
        <w:t xml:space="preserve">, организаций различных форм собственности и организационно-правовых форм, общественных объединений и средств массовой информации по вопросам обеспечения транспортной доступности населения на территории муниципального района, руководствуясь статьями 15, 35 Федерального закона от 06.10.2003 г. № 131-ФЗ "Об общих принципах организации местного самоуправления в Российской Федерации", </w:t>
      </w:r>
      <w:r w:rsidRPr="002C2175">
        <w:rPr>
          <w:sz w:val="23"/>
          <w:szCs w:val="23"/>
        </w:rPr>
        <w:t xml:space="preserve">статьями  31, 48 Устава </w:t>
      </w:r>
      <w:proofErr w:type="spellStart"/>
      <w:r w:rsidRPr="002C2175">
        <w:rPr>
          <w:sz w:val="23"/>
          <w:szCs w:val="23"/>
        </w:rPr>
        <w:t>Слюдянск</w:t>
      </w:r>
      <w:r w:rsidR="00866C4D" w:rsidRPr="002C2175">
        <w:rPr>
          <w:sz w:val="23"/>
          <w:szCs w:val="23"/>
        </w:rPr>
        <w:t>ого</w:t>
      </w:r>
      <w:proofErr w:type="spellEnd"/>
      <w:r w:rsidR="00866C4D" w:rsidRPr="002C2175">
        <w:rPr>
          <w:sz w:val="23"/>
          <w:szCs w:val="23"/>
        </w:rPr>
        <w:t xml:space="preserve"> муниципального</w:t>
      </w:r>
      <w:r w:rsidRPr="002C2175">
        <w:rPr>
          <w:sz w:val="23"/>
          <w:szCs w:val="23"/>
        </w:rPr>
        <w:t xml:space="preserve"> район</w:t>
      </w:r>
      <w:r w:rsidR="00866C4D" w:rsidRPr="002C2175">
        <w:rPr>
          <w:sz w:val="23"/>
          <w:szCs w:val="23"/>
        </w:rPr>
        <w:t>а</w:t>
      </w:r>
      <w:r w:rsidRPr="002C2175">
        <w:rPr>
          <w:sz w:val="23"/>
          <w:szCs w:val="23"/>
        </w:rPr>
        <w:t xml:space="preserve"> (новая редакция), зарегистрированного постановлением Губернатора  Иркутской области от 30.06.2005г.  №303-п, </w:t>
      </w:r>
      <w:proofErr w:type="gramEnd"/>
    </w:p>
    <w:p w:rsidR="00866C4D" w:rsidRPr="002C2175" w:rsidRDefault="00115ABD" w:rsidP="00115ABD">
      <w:pPr>
        <w:jc w:val="both"/>
        <w:rPr>
          <w:b/>
          <w:sz w:val="23"/>
          <w:szCs w:val="23"/>
        </w:rPr>
      </w:pPr>
      <w:r w:rsidRPr="002C2175">
        <w:rPr>
          <w:b/>
          <w:sz w:val="23"/>
          <w:szCs w:val="23"/>
        </w:rPr>
        <w:t xml:space="preserve"> </w:t>
      </w:r>
      <w:r w:rsidRPr="002C2175">
        <w:rPr>
          <w:b/>
          <w:sz w:val="23"/>
          <w:szCs w:val="23"/>
        </w:rPr>
        <w:tab/>
      </w:r>
      <w:r w:rsidRPr="002C2175">
        <w:rPr>
          <w:b/>
          <w:sz w:val="23"/>
          <w:szCs w:val="23"/>
        </w:rPr>
        <w:tab/>
      </w:r>
      <w:r w:rsidRPr="002C2175">
        <w:rPr>
          <w:b/>
          <w:sz w:val="23"/>
          <w:szCs w:val="23"/>
        </w:rPr>
        <w:tab/>
      </w:r>
      <w:r w:rsidRPr="002C2175">
        <w:rPr>
          <w:b/>
          <w:sz w:val="23"/>
          <w:szCs w:val="23"/>
        </w:rPr>
        <w:tab/>
      </w:r>
    </w:p>
    <w:p w:rsidR="00115ABD" w:rsidRPr="002C2175" w:rsidRDefault="00115ABD" w:rsidP="00866C4D">
      <w:pPr>
        <w:jc w:val="center"/>
        <w:rPr>
          <w:b/>
          <w:sz w:val="23"/>
          <w:szCs w:val="23"/>
        </w:rPr>
      </w:pPr>
      <w:r w:rsidRPr="002C2175">
        <w:rPr>
          <w:b/>
          <w:sz w:val="23"/>
          <w:szCs w:val="23"/>
        </w:rPr>
        <w:t>РАЙОННАЯ ДУМА РЕШИЛА:</w:t>
      </w:r>
    </w:p>
    <w:p w:rsidR="00115ABD" w:rsidRPr="002C2175" w:rsidRDefault="00115ABD" w:rsidP="00115ABD">
      <w:pPr>
        <w:jc w:val="both"/>
        <w:rPr>
          <w:sz w:val="23"/>
          <w:szCs w:val="23"/>
        </w:rPr>
      </w:pPr>
    </w:p>
    <w:p w:rsidR="00115ABD" w:rsidRPr="002C2175" w:rsidRDefault="00DD2107" w:rsidP="00115ABD">
      <w:pPr>
        <w:numPr>
          <w:ilvl w:val="0"/>
          <w:numId w:val="1"/>
        </w:numPr>
        <w:jc w:val="both"/>
        <w:rPr>
          <w:sz w:val="23"/>
          <w:szCs w:val="23"/>
        </w:rPr>
      </w:pPr>
      <w:r w:rsidRPr="002C2175">
        <w:rPr>
          <w:sz w:val="23"/>
          <w:szCs w:val="23"/>
        </w:rPr>
        <w:t xml:space="preserve">Отчет </w:t>
      </w:r>
      <w:r w:rsidR="00115ABD" w:rsidRPr="002C2175">
        <w:rPr>
          <w:sz w:val="23"/>
          <w:szCs w:val="23"/>
        </w:rPr>
        <w:t xml:space="preserve">о ходе выполнения муниципальной программы «Повышение транспортной доступности, обеспечение условий для реализации потребностей граждан </w:t>
      </w:r>
      <w:proofErr w:type="spellStart"/>
      <w:r w:rsidR="00115ABD" w:rsidRPr="002C2175">
        <w:rPr>
          <w:sz w:val="23"/>
          <w:szCs w:val="23"/>
        </w:rPr>
        <w:t>Слюдянск</w:t>
      </w:r>
      <w:r w:rsidR="00847763" w:rsidRPr="002C2175">
        <w:rPr>
          <w:sz w:val="23"/>
          <w:szCs w:val="23"/>
        </w:rPr>
        <w:t>ого</w:t>
      </w:r>
      <w:proofErr w:type="spellEnd"/>
      <w:r w:rsidR="00847763" w:rsidRPr="002C2175">
        <w:rPr>
          <w:sz w:val="23"/>
          <w:szCs w:val="23"/>
        </w:rPr>
        <w:t xml:space="preserve"> муниципального</w:t>
      </w:r>
      <w:r w:rsidR="00115ABD" w:rsidRPr="002C2175">
        <w:rPr>
          <w:sz w:val="23"/>
          <w:szCs w:val="23"/>
        </w:rPr>
        <w:t xml:space="preserve"> район</w:t>
      </w:r>
      <w:r w:rsidR="00847763" w:rsidRPr="002C2175">
        <w:rPr>
          <w:sz w:val="23"/>
          <w:szCs w:val="23"/>
        </w:rPr>
        <w:t>а</w:t>
      </w:r>
      <w:r w:rsidR="00115ABD" w:rsidRPr="002C2175">
        <w:rPr>
          <w:sz w:val="23"/>
          <w:szCs w:val="23"/>
        </w:rPr>
        <w:t xml:space="preserve"> в перевозках на 201</w:t>
      </w:r>
      <w:r w:rsidR="00847763" w:rsidRPr="002C2175">
        <w:rPr>
          <w:sz w:val="23"/>
          <w:szCs w:val="23"/>
        </w:rPr>
        <w:t>9</w:t>
      </w:r>
      <w:r w:rsidR="00115ABD" w:rsidRPr="002C2175">
        <w:rPr>
          <w:sz w:val="23"/>
          <w:szCs w:val="23"/>
        </w:rPr>
        <w:t>-202</w:t>
      </w:r>
      <w:r w:rsidR="00847763" w:rsidRPr="002C2175">
        <w:rPr>
          <w:sz w:val="23"/>
          <w:szCs w:val="23"/>
        </w:rPr>
        <w:t>4</w:t>
      </w:r>
      <w:r w:rsidR="00115ABD" w:rsidRPr="002C2175">
        <w:rPr>
          <w:sz w:val="23"/>
          <w:szCs w:val="23"/>
        </w:rPr>
        <w:t xml:space="preserve"> годы» </w:t>
      </w:r>
      <w:r w:rsidRPr="002C2175">
        <w:rPr>
          <w:sz w:val="23"/>
          <w:szCs w:val="23"/>
        </w:rPr>
        <w:t>за 202</w:t>
      </w:r>
      <w:r w:rsidR="00847763" w:rsidRPr="002C2175">
        <w:rPr>
          <w:sz w:val="23"/>
          <w:szCs w:val="23"/>
        </w:rPr>
        <w:t>1</w:t>
      </w:r>
      <w:r w:rsidRPr="002C2175">
        <w:rPr>
          <w:sz w:val="23"/>
          <w:szCs w:val="23"/>
        </w:rPr>
        <w:t xml:space="preserve"> год </w:t>
      </w:r>
      <w:r w:rsidR="00115ABD" w:rsidRPr="002C2175">
        <w:rPr>
          <w:sz w:val="23"/>
          <w:szCs w:val="23"/>
        </w:rPr>
        <w:t>принять к сведению (прилагается).</w:t>
      </w:r>
    </w:p>
    <w:p w:rsidR="00D74C3C" w:rsidRPr="002C2175" w:rsidRDefault="00D74C3C" w:rsidP="00115ABD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 w:rsidRPr="002C2175">
        <w:rPr>
          <w:sz w:val="23"/>
          <w:szCs w:val="23"/>
        </w:rPr>
        <w:t>Опуликовать</w:t>
      </w:r>
      <w:proofErr w:type="spellEnd"/>
      <w:r w:rsidRPr="002C2175">
        <w:rPr>
          <w:sz w:val="23"/>
          <w:szCs w:val="23"/>
        </w:rPr>
        <w:t xml:space="preserve"> настоящее решение в специальном выпуске газеты «Славное море» и разместить на официальном сайте </w:t>
      </w:r>
      <w:hyperlink r:id="rId8" w:history="1">
        <w:r w:rsidR="002C2175" w:rsidRPr="002C2175">
          <w:rPr>
            <w:rStyle w:val="a8"/>
            <w:sz w:val="23"/>
            <w:szCs w:val="23"/>
            <w:lang w:val="en-US"/>
          </w:rPr>
          <w:t>www</w:t>
        </w:r>
        <w:r w:rsidR="002C2175" w:rsidRPr="002C2175">
          <w:rPr>
            <w:rStyle w:val="a8"/>
            <w:sz w:val="23"/>
            <w:szCs w:val="23"/>
          </w:rPr>
          <w:t>.</w:t>
        </w:r>
        <w:proofErr w:type="spellStart"/>
        <w:r w:rsidR="002C2175" w:rsidRPr="002C2175">
          <w:rPr>
            <w:rStyle w:val="a8"/>
            <w:sz w:val="23"/>
            <w:szCs w:val="23"/>
            <w:lang w:val="en-US"/>
          </w:rPr>
          <w:t>sludyanka</w:t>
        </w:r>
        <w:proofErr w:type="spellEnd"/>
        <w:r w:rsidR="002C2175" w:rsidRPr="002C2175">
          <w:rPr>
            <w:rStyle w:val="a8"/>
            <w:sz w:val="23"/>
            <w:szCs w:val="23"/>
          </w:rPr>
          <w:t>.</w:t>
        </w:r>
        <w:proofErr w:type="spellStart"/>
        <w:r w:rsidR="002C2175" w:rsidRPr="002C2175">
          <w:rPr>
            <w:rStyle w:val="a8"/>
            <w:sz w:val="23"/>
            <w:szCs w:val="23"/>
            <w:lang w:val="en-US"/>
          </w:rPr>
          <w:t>ru</w:t>
        </w:r>
        <w:proofErr w:type="spellEnd"/>
      </w:hyperlink>
      <w:r w:rsidR="002C2175" w:rsidRPr="002C2175">
        <w:rPr>
          <w:sz w:val="23"/>
          <w:szCs w:val="23"/>
        </w:rPr>
        <w:t xml:space="preserve"> в разделе «Дума» подразделе «Решения думы»</w:t>
      </w:r>
    </w:p>
    <w:p w:rsidR="00115ABD" w:rsidRPr="002C2175" w:rsidRDefault="00115ABD" w:rsidP="00115ABD">
      <w:pPr>
        <w:ind w:left="360"/>
        <w:jc w:val="both"/>
        <w:rPr>
          <w:sz w:val="23"/>
          <w:szCs w:val="23"/>
        </w:rPr>
      </w:pPr>
    </w:p>
    <w:p w:rsidR="002A207B" w:rsidRPr="002C2175" w:rsidRDefault="00115ABD" w:rsidP="00115ABD">
      <w:pPr>
        <w:rPr>
          <w:sz w:val="23"/>
          <w:szCs w:val="23"/>
        </w:rPr>
      </w:pPr>
      <w:r w:rsidRPr="002C2175">
        <w:rPr>
          <w:sz w:val="23"/>
          <w:szCs w:val="23"/>
        </w:rPr>
        <w:t xml:space="preserve">Председатель Думы </w:t>
      </w:r>
    </w:p>
    <w:p w:rsidR="00115ABD" w:rsidRPr="002C2175" w:rsidRDefault="00115ABD" w:rsidP="00115ABD">
      <w:pPr>
        <w:rPr>
          <w:sz w:val="23"/>
          <w:szCs w:val="23"/>
        </w:rPr>
      </w:pPr>
      <w:proofErr w:type="spellStart"/>
      <w:r w:rsidRPr="002C2175">
        <w:rPr>
          <w:sz w:val="23"/>
          <w:szCs w:val="23"/>
        </w:rPr>
        <w:t>Слюдянск</w:t>
      </w:r>
      <w:r w:rsidR="002A207B" w:rsidRPr="002C2175">
        <w:rPr>
          <w:sz w:val="23"/>
          <w:szCs w:val="23"/>
        </w:rPr>
        <w:t>ого</w:t>
      </w:r>
      <w:proofErr w:type="spellEnd"/>
      <w:r w:rsidR="002A207B" w:rsidRPr="002C2175">
        <w:rPr>
          <w:sz w:val="23"/>
          <w:szCs w:val="23"/>
        </w:rPr>
        <w:t xml:space="preserve"> муниципального</w:t>
      </w:r>
      <w:r w:rsidRPr="002C2175">
        <w:rPr>
          <w:sz w:val="23"/>
          <w:szCs w:val="23"/>
        </w:rPr>
        <w:t xml:space="preserve"> район</w:t>
      </w:r>
      <w:r w:rsidR="002A207B" w:rsidRPr="002C2175">
        <w:rPr>
          <w:sz w:val="23"/>
          <w:szCs w:val="23"/>
        </w:rPr>
        <w:t>а</w:t>
      </w:r>
      <w:r w:rsidRPr="002C2175">
        <w:rPr>
          <w:sz w:val="23"/>
          <w:szCs w:val="23"/>
        </w:rPr>
        <w:t xml:space="preserve">                                                       </w:t>
      </w:r>
      <w:r w:rsidR="00DD2107" w:rsidRPr="002C2175">
        <w:rPr>
          <w:sz w:val="23"/>
          <w:szCs w:val="23"/>
        </w:rPr>
        <w:t xml:space="preserve">       </w:t>
      </w:r>
      <w:r w:rsidRPr="002C2175">
        <w:rPr>
          <w:sz w:val="23"/>
          <w:szCs w:val="23"/>
        </w:rPr>
        <w:t xml:space="preserve"> А.В. Николаев</w:t>
      </w:r>
    </w:p>
    <w:p w:rsidR="00115ABD" w:rsidRDefault="00115ABD" w:rsidP="00115ABD">
      <w:pPr>
        <w:ind w:left="360"/>
        <w:jc w:val="both"/>
      </w:pPr>
    </w:p>
    <w:p w:rsidR="00115ABD" w:rsidRPr="001F41F3" w:rsidRDefault="00115ABD" w:rsidP="00115ABD">
      <w:pPr>
        <w:jc w:val="both"/>
        <w:rPr>
          <w:b/>
        </w:rPr>
      </w:pPr>
      <w:r w:rsidRPr="006C2458">
        <w:t xml:space="preserve">от </w:t>
      </w:r>
      <w:r w:rsidR="001F41F3">
        <w:t>31.03.2022г</w:t>
      </w:r>
      <w:r w:rsidR="001F41F3" w:rsidRPr="001F41F3">
        <w:t>.</w:t>
      </w:r>
      <w:r w:rsidRPr="001F41F3">
        <w:t xml:space="preserve"> №  </w:t>
      </w:r>
      <w:r w:rsidR="001F41F3" w:rsidRPr="001F41F3">
        <w:t>15</w:t>
      </w:r>
      <w:r w:rsidRPr="001F41F3">
        <w:t xml:space="preserve"> – </w:t>
      </w:r>
      <w:r w:rsidRPr="001F41F3">
        <w:rPr>
          <w:lang w:val="en-US"/>
        </w:rPr>
        <w:t>VI</w:t>
      </w:r>
      <w:r w:rsidR="00B13059" w:rsidRPr="001F41F3">
        <w:rPr>
          <w:lang w:val="en-US"/>
        </w:rPr>
        <w:t>I</w:t>
      </w:r>
      <w:r w:rsidRPr="001F41F3">
        <w:t xml:space="preserve"> </w:t>
      </w:r>
      <w:proofErr w:type="spellStart"/>
      <w:r w:rsidRPr="001F41F3">
        <w:t>рд</w:t>
      </w:r>
      <w:proofErr w:type="spellEnd"/>
    </w:p>
    <w:p w:rsidR="00076BFD" w:rsidRDefault="00076BFD" w:rsidP="00076BFD">
      <w:pPr>
        <w:ind w:left="4956" w:firstLine="708"/>
        <w:jc w:val="right"/>
      </w:pPr>
      <w:r>
        <w:lastRenderedPageBreak/>
        <w:t>Приложение</w:t>
      </w:r>
    </w:p>
    <w:p w:rsidR="00076BFD" w:rsidRDefault="00076BFD" w:rsidP="00076BFD">
      <w:pPr>
        <w:ind w:left="4956" w:firstLine="708"/>
        <w:jc w:val="right"/>
      </w:pPr>
      <w:r>
        <w:t xml:space="preserve">к </w:t>
      </w:r>
      <w:r w:rsidR="002A207B">
        <w:t>р</w:t>
      </w:r>
      <w:r>
        <w:t>ешению районной Думы</w:t>
      </w:r>
    </w:p>
    <w:p w:rsidR="00076BFD" w:rsidRPr="001D623D" w:rsidRDefault="001F41F3" w:rsidP="00076BFD">
      <w:pPr>
        <w:ind w:left="4956" w:firstLine="708"/>
        <w:jc w:val="right"/>
      </w:pPr>
      <w:r w:rsidRPr="006C2458">
        <w:t xml:space="preserve">от </w:t>
      </w:r>
      <w:r>
        <w:t>31.03.2022г</w:t>
      </w:r>
      <w:r w:rsidRPr="001F41F3">
        <w:t xml:space="preserve">. №  15 – </w:t>
      </w:r>
      <w:r w:rsidRPr="001F41F3">
        <w:rPr>
          <w:lang w:val="en-US"/>
        </w:rPr>
        <w:t>VII</w:t>
      </w:r>
      <w:r w:rsidRPr="001F41F3">
        <w:t xml:space="preserve"> </w:t>
      </w:r>
      <w:proofErr w:type="spellStart"/>
      <w:r w:rsidRPr="001F41F3">
        <w:t>рд</w:t>
      </w:r>
      <w:proofErr w:type="spellEnd"/>
    </w:p>
    <w:p w:rsidR="00076BFD" w:rsidRPr="008D50B8" w:rsidRDefault="00076BFD" w:rsidP="00076BFD">
      <w:pPr>
        <w:ind w:left="4956" w:firstLine="708"/>
        <w:jc w:val="right"/>
      </w:pPr>
    </w:p>
    <w:p w:rsidR="00076BFD" w:rsidRDefault="00076BFD" w:rsidP="00076BFD">
      <w:pPr>
        <w:spacing w:line="276" w:lineRule="auto"/>
        <w:ind w:firstLine="705"/>
        <w:jc w:val="center"/>
      </w:pPr>
    </w:p>
    <w:p w:rsidR="00076BFD" w:rsidRDefault="00DD2107" w:rsidP="00076BFD">
      <w:pPr>
        <w:spacing w:line="276" w:lineRule="auto"/>
        <w:ind w:firstLine="705"/>
        <w:jc w:val="center"/>
        <w:rPr>
          <w:b/>
        </w:rPr>
      </w:pPr>
      <w:r>
        <w:rPr>
          <w:b/>
        </w:rPr>
        <w:t>ОТЧЕТ</w:t>
      </w:r>
    </w:p>
    <w:p w:rsidR="00B13059" w:rsidRDefault="00B13059" w:rsidP="00076BFD">
      <w:pPr>
        <w:spacing w:line="276" w:lineRule="auto"/>
        <w:ind w:firstLine="705"/>
        <w:jc w:val="center"/>
        <w:rPr>
          <w:b/>
        </w:rPr>
      </w:pPr>
      <w:r w:rsidRPr="00B13059">
        <w:rPr>
          <w:b/>
        </w:rPr>
        <w:t xml:space="preserve">о </w:t>
      </w:r>
      <w:r w:rsidR="00D74C3C">
        <w:rPr>
          <w:b/>
        </w:rPr>
        <w:t>выполнении мероприятий</w:t>
      </w:r>
      <w:r w:rsidRPr="00B13059">
        <w:rPr>
          <w:b/>
        </w:rPr>
        <w:t xml:space="preserve"> муниципальной программы «Повышение транспортной доступности, обеспечение условий для реализации потребностей граждан </w:t>
      </w:r>
      <w:proofErr w:type="spellStart"/>
      <w:r w:rsidRPr="00B13059">
        <w:rPr>
          <w:b/>
        </w:rPr>
        <w:t>Слюдянск</w:t>
      </w:r>
      <w:r w:rsidR="00847763">
        <w:rPr>
          <w:b/>
        </w:rPr>
        <w:t>ого</w:t>
      </w:r>
      <w:proofErr w:type="spellEnd"/>
      <w:r w:rsidR="00847763">
        <w:rPr>
          <w:b/>
        </w:rPr>
        <w:t xml:space="preserve"> муниципального</w:t>
      </w:r>
      <w:r w:rsidRPr="00B13059">
        <w:rPr>
          <w:b/>
        </w:rPr>
        <w:t xml:space="preserve"> район</w:t>
      </w:r>
      <w:r w:rsidR="00847763">
        <w:rPr>
          <w:b/>
        </w:rPr>
        <w:t>а</w:t>
      </w:r>
      <w:r w:rsidRPr="00B13059">
        <w:rPr>
          <w:b/>
        </w:rPr>
        <w:t xml:space="preserve"> в перевозках на 201</w:t>
      </w:r>
      <w:r w:rsidR="00847763">
        <w:rPr>
          <w:b/>
        </w:rPr>
        <w:t>9</w:t>
      </w:r>
      <w:r w:rsidRPr="00B13059">
        <w:rPr>
          <w:b/>
        </w:rPr>
        <w:t>-202</w:t>
      </w:r>
      <w:r w:rsidR="00847763">
        <w:rPr>
          <w:b/>
        </w:rPr>
        <w:t>4</w:t>
      </w:r>
      <w:r w:rsidRPr="00B13059">
        <w:rPr>
          <w:b/>
        </w:rPr>
        <w:t xml:space="preserve"> годы»</w:t>
      </w:r>
      <w:r w:rsidR="00D74C3C">
        <w:rPr>
          <w:b/>
        </w:rPr>
        <w:t xml:space="preserve"> за 2021 год</w:t>
      </w:r>
    </w:p>
    <w:p w:rsidR="00B13059" w:rsidRPr="00B13059" w:rsidRDefault="00B13059" w:rsidP="00076BFD">
      <w:pPr>
        <w:spacing w:line="276" w:lineRule="auto"/>
        <w:ind w:firstLine="705"/>
        <w:jc w:val="center"/>
        <w:rPr>
          <w:b/>
        </w:rPr>
      </w:pP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Одной из важнейших и социально-значимых задач органов местного самоуправления является развитие системы транспортного обслуживания населения  с целью повышения качества оказываемых услуг.</w:t>
      </w:r>
    </w:p>
    <w:p w:rsidR="00B24C77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ab/>
        <w:t xml:space="preserve">Как работает данный  сектор экономики,  в полной мере ощущают на себе все жители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</w:t>
      </w:r>
      <w:r w:rsidR="002C217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C217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267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175">
        <w:rPr>
          <w:rFonts w:ascii="Times New Roman" w:hAnsi="Times New Roman" w:cs="Times New Roman"/>
          <w:sz w:val="24"/>
          <w:szCs w:val="24"/>
        </w:rPr>
        <w:t>а</w:t>
      </w:r>
      <w:r w:rsidRPr="006267AF">
        <w:rPr>
          <w:rFonts w:ascii="Times New Roman" w:hAnsi="Times New Roman" w:cs="Times New Roman"/>
          <w:sz w:val="24"/>
          <w:szCs w:val="24"/>
        </w:rPr>
        <w:t xml:space="preserve">. От эффективности функционирования пассажирского транспортного комплекса во многом зависит  сохранение социальной, экономической и политической стабильности жизни района. </w:t>
      </w:r>
    </w:p>
    <w:p w:rsidR="00B24C77" w:rsidRPr="00E33DB2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время, </w:t>
      </w:r>
      <w:r w:rsidRPr="005D71D6">
        <w:rPr>
          <w:rFonts w:ascii="Times New Roman" w:hAnsi="Times New Roman" w:cs="Times New Roman"/>
          <w:sz w:val="24"/>
          <w:szCs w:val="24"/>
        </w:rPr>
        <w:t xml:space="preserve"> основными федеральными нормативными правовыми актами, регламентирующими правила организации пассажирских перевозок,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5D71D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закон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</w:t>
      </w:r>
      <w:r w:rsidRPr="00E33DB2">
        <w:rPr>
          <w:rFonts w:ascii="Times New Roman" w:hAnsi="Times New Roman" w:cs="Times New Roman"/>
          <w:sz w:val="24"/>
          <w:szCs w:val="24"/>
        </w:rPr>
        <w:t>Федеральный закон  от 08.11.2007 №259-ФЗ «Устав автомобильного транспорта и городского наземного электрического транспорта», Федеральный закон от 10.12.1995 N 196-ФЗ "О безопасности дорожного движения", Постановление Правительства Российской Федерации</w:t>
      </w:r>
      <w:proofErr w:type="gramEnd"/>
      <w:r w:rsidRPr="00E33DB2">
        <w:rPr>
          <w:rFonts w:ascii="Times New Roman" w:hAnsi="Times New Roman" w:cs="Times New Roman"/>
          <w:sz w:val="24"/>
          <w:szCs w:val="24"/>
        </w:rPr>
        <w:t xml:space="preserve"> от 14.02.2009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B2">
        <w:rPr>
          <w:rFonts w:ascii="Times New Roman" w:hAnsi="Times New Roman" w:cs="Times New Roman"/>
          <w:sz w:val="24"/>
          <w:szCs w:val="24"/>
        </w:rPr>
        <w:t>112 "Об утверждении правил  перевозок пассажиров и багажа  автомобильным транспортом и городским наземным электрическим  транспортом",  и иные нормативные правовые акты.</w:t>
      </w:r>
    </w:p>
    <w:p w:rsidR="00B24C77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DB2">
        <w:rPr>
          <w:rFonts w:ascii="Times New Roman" w:hAnsi="Times New Roman" w:cs="Times New Roman"/>
          <w:sz w:val="24"/>
          <w:szCs w:val="24"/>
        </w:rPr>
        <w:t>В связи с принятием в 2015 году нового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пассажирский транспорт оказался в</w:t>
      </w:r>
      <w:r>
        <w:rPr>
          <w:rFonts w:ascii="Times New Roman" w:hAnsi="Times New Roman" w:cs="Times New Roman"/>
          <w:sz w:val="24"/>
          <w:szCs w:val="24"/>
        </w:rPr>
        <w:t xml:space="preserve"> правовом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67AF">
        <w:rPr>
          <w:rFonts w:ascii="Times New Roman" w:hAnsi="Times New Roman" w:cs="Times New Roman"/>
          <w:sz w:val="24"/>
          <w:szCs w:val="24"/>
        </w:rPr>
        <w:t>, регулирующе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67AF">
        <w:rPr>
          <w:rFonts w:ascii="Times New Roman" w:hAnsi="Times New Roman" w:cs="Times New Roman"/>
          <w:sz w:val="24"/>
          <w:szCs w:val="24"/>
        </w:rPr>
        <w:t xml:space="preserve"> в рыночных условиях сферу предоставления населению услуг по пассажирским перевозкам, </w:t>
      </w:r>
      <w:r>
        <w:rPr>
          <w:rFonts w:ascii="Times New Roman" w:hAnsi="Times New Roman" w:cs="Times New Roman"/>
          <w:sz w:val="24"/>
          <w:szCs w:val="24"/>
        </w:rPr>
        <w:t xml:space="preserve">стало возможно </w:t>
      </w:r>
      <w:r w:rsidRPr="006267AF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6267AF">
        <w:rPr>
          <w:rFonts w:ascii="Times New Roman" w:hAnsi="Times New Roman" w:cs="Times New Roman"/>
          <w:sz w:val="24"/>
          <w:szCs w:val="24"/>
        </w:rPr>
        <w:t xml:space="preserve"> активно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воздействи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на перевозчиков. </w:t>
      </w:r>
      <w:r>
        <w:rPr>
          <w:rFonts w:ascii="Times New Roman" w:hAnsi="Times New Roman" w:cs="Times New Roman"/>
          <w:sz w:val="24"/>
          <w:szCs w:val="24"/>
        </w:rPr>
        <w:t>Возник</w:t>
      </w:r>
      <w:r w:rsidRPr="006267AF">
        <w:rPr>
          <w:rFonts w:ascii="Times New Roman" w:hAnsi="Times New Roman" w:cs="Times New Roman"/>
          <w:sz w:val="24"/>
          <w:szCs w:val="24"/>
        </w:rPr>
        <w:t xml:space="preserve"> механизм ограничения допуска перевозчиков на рынок транспортного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7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6267AF">
        <w:rPr>
          <w:rFonts w:ascii="Times New Roman" w:hAnsi="Times New Roman" w:cs="Times New Roman"/>
          <w:sz w:val="24"/>
          <w:szCs w:val="24"/>
        </w:rPr>
        <w:t>способствует повышению качества перевозок. В связи с этим</w:t>
      </w:r>
      <w:r w:rsidR="002C2175">
        <w:rPr>
          <w:rFonts w:ascii="Times New Roman" w:hAnsi="Times New Roman" w:cs="Times New Roman"/>
          <w:sz w:val="24"/>
          <w:szCs w:val="24"/>
        </w:rPr>
        <w:t>,</w:t>
      </w:r>
      <w:r w:rsidRPr="006267AF"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</w:t>
      </w:r>
      <w:r w:rsidR="002C217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C217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267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1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71C">
        <w:rPr>
          <w:rFonts w:ascii="Times New Roman" w:hAnsi="Times New Roman" w:cs="Times New Roman"/>
          <w:sz w:val="24"/>
          <w:szCs w:val="24"/>
        </w:rPr>
        <w:t>с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71C">
        <w:rPr>
          <w:rFonts w:ascii="Times New Roman" w:hAnsi="Times New Roman" w:cs="Times New Roman"/>
          <w:sz w:val="24"/>
          <w:szCs w:val="24"/>
        </w:rPr>
        <w:t>провод</w:t>
      </w:r>
      <w:r w:rsidR="002C2175">
        <w:rPr>
          <w:rFonts w:ascii="Times New Roman" w:hAnsi="Times New Roman" w:cs="Times New Roman"/>
          <w:sz w:val="24"/>
          <w:szCs w:val="24"/>
        </w:rPr>
        <w:t>ит</w:t>
      </w:r>
      <w:r w:rsidR="0059571C">
        <w:rPr>
          <w:rFonts w:ascii="Times New Roman" w:hAnsi="Times New Roman" w:cs="Times New Roman"/>
          <w:sz w:val="24"/>
          <w:szCs w:val="24"/>
        </w:rPr>
        <w:t xml:space="preserve"> конкурентные торги</w:t>
      </w:r>
      <w:r>
        <w:rPr>
          <w:rFonts w:ascii="Times New Roman" w:hAnsi="Times New Roman" w:cs="Times New Roman"/>
          <w:sz w:val="24"/>
          <w:szCs w:val="24"/>
        </w:rPr>
        <w:t xml:space="preserve"> на в</w:t>
      </w:r>
      <w:r w:rsidRPr="00AE64A6">
        <w:rPr>
          <w:rFonts w:ascii="Times New Roman" w:hAnsi="Times New Roman"/>
          <w:sz w:val="24"/>
          <w:szCs w:val="24"/>
        </w:rPr>
        <w:t xml:space="preserve">ыполнение работ, связанных с осуществлением регулярных перевозок пассажиров и багажа автомобильным транспортом по регулируемым тарифам по </w:t>
      </w:r>
      <w:r>
        <w:rPr>
          <w:rFonts w:ascii="Times New Roman" w:hAnsi="Times New Roman"/>
          <w:sz w:val="24"/>
          <w:szCs w:val="24"/>
        </w:rPr>
        <w:t>пригородным</w:t>
      </w:r>
      <w:r w:rsidRPr="00AE64A6">
        <w:rPr>
          <w:rFonts w:ascii="Times New Roman" w:hAnsi="Times New Roman"/>
          <w:sz w:val="24"/>
          <w:szCs w:val="24"/>
        </w:rPr>
        <w:t xml:space="preserve"> маршрут</w:t>
      </w:r>
      <w:r>
        <w:rPr>
          <w:rFonts w:ascii="Times New Roman" w:hAnsi="Times New Roman"/>
          <w:sz w:val="24"/>
          <w:szCs w:val="24"/>
        </w:rPr>
        <w:t>ам</w:t>
      </w:r>
      <w:r w:rsidRPr="00AE64A6">
        <w:rPr>
          <w:rFonts w:ascii="Times New Roman" w:hAnsi="Times New Roman"/>
          <w:sz w:val="24"/>
          <w:szCs w:val="24"/>
        </w:rPr>
        <w:t xml:space="preserve"> регулярных перевозок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C4D" w:rsidRDefault="00866C4D" w:rsidP="00B24C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2020 году, </w:t>
      </w:r>
      <w:r w:rsidR="0059571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результате торгов был определен перевозчик </w:t>
      </w:r>
      <w:r>
        <w:rPr>
          <w:rFonts w:ascii="Times New Roman" w:hAnsi="Times New Roman" w:cs="Times New Roman"/>
          <w:sz w:val="24"/>
          <w:szCs w:val="24"/>
        </w:rPr>
        <w:t xml:space="preserve">по муниципальным пригородным маршрутам: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Зинуров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Г.Т. - </w:t>
      </w:r>
      <w:r w:rsidRPr="00AC55DE">
        <w:rPr>
          <w:rFonts w:ascii="Times New Roman" w:hAnsi="Times New Roman"/>
          <w:sz w:val="24"/>
          <w:szCs w:val="24"/>
        </w:rPr>
        <w:t xml:space="preserve">№ 106 «г. </w:t>
      </w:r>
      <w:proofErr w:type="spellStart"/>
      <w:r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 – ст. </w:t>
      </w:r>
      <w:proofErr w:type="spellStart"/>
      <w:r w:rsidRPr="00AC55DE">
        <w:rPr>
          <w:rFonts w:ascii="Times New Roman" w:hAnsi="Times New Roman"/>
          <w:sz w:val="24"/>
          <w:szCs w:val="24"/>
        </w:rPr>
        <w:t>Ангасолка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», № 109 «г. </w:t>
      </w:r>
      <w:proofErr w:type="spellStart"/>
      <w:r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 – с. Тибельти», № 101 «г. </w:t>
      </w:r>
      <w:proofErr w:type="spellStart"/>
      <w:r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C55DE">
        <w:rPr>
          <w:rFonts w:ascii="Times New Roman" w:hAnsi="Times New Roman"/>
          <w:sz w:val="24"/>
          <w:szCs w:val="24"/>
        </w:rPr>
        <w:t>р.п</w:t>
      </w:r>
      <w:proofErr w:type="spellEnd"/>
      <w:r w:rsidRPr="00AC55DE">
        <w:rPr>
          <w:rFonts w:ascii="Times New Roman" w:hAnsi="Times New Roman"/>
          <w:sz w:val="24"/>
          <w:szCs w:val="24"/>
        </w:rPr>
        <w:t>.</w:t>
      </w:r>
      <w:proofErr w:type="gramEnd"/>
      <w:r w:rsidRPr="00AC55DE">
        <w:rPr>
          <w:rFonts w:ascii="Times New Roman" w:hAnsi="Times New Roman"/>
          <w:sz w:val="24"/>
          <w:szCs w:val="24"/>
        </w:rPr>
        <w:t xml:space="preserve"> Култук</w:t>
      </w:r>
      <w:r w:rsidR="0059571C">
        <w:rPr>
          <w:rFonts w:ascii="Times New Roman" w:hAnsi="Times New Roman"/>
          <w:sz w:val="24"/>
          <w:szCs w:val="24"/>
        </w:rPr>
        <w:t>». Срок действия муниципального контракта – до 31.10.2022 года.</w:t>
      </w:r>
    </w:p>
    <w:p w:rsidR="0059571C" w:rsidRDefault="0059571C" w:rsidP="005957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2021 году, в связи с распространением пандемии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инфекции, изменением условий при осуществлении перевозок были заключены новые контракты </w:t>
      </w:r>
      <w:r>
        <w:rPr>
          <w:rFonts w:ascii="Times New Roman" w:hAnsi="Times New Roman" w:cs="Times New Roman"/>
          <w:sz w:val="24"/>
          <w:szCs w:val="24"/>
        </w:rPr>
        <w:t>на в</w:t>
      </w:r>
      <w:r w:rsidRPr="00AE64A6">
        <w:rPr>
          <w:rFonts w:ascii="Times New Roman" w:hAnsi="Times New Roman"/>
          <w:sz w:val="24"/>
          <w:szCs w:val="24"/>
        </w:rPr>
        <w:t xml:space="preserve">ыполнение работ, связанных с осуществлением регулярных перевозок пассажиров и багажа автомобильным транспортом по регулируемым тарифам по </w:t>
      </w:r>
      <w:r>
        <w:rPr>
          <w:rFonts w:ascii="Times New Roman" w:hAnsi="Times New Roman"/>
          <w:sz w:val="24"/>
          <w:szCs w:val="24"/>
        </w:rPr>
        <w:t>пригородным</w:t>
      </w:r>
      <w:r w:rsidRPr="00AE64A6">
        <w:rPr>
          <w:rFonts w:ascii="Times New Roman" w:hAnsi="Times New Roman"/>
          <w:sz w:val="24"/>
          <w:szCs w:val="24"/>
        </w:rPr>
        <w:t xml:space="preserve"> маршрут</w:t>
      </w:r>
      <w:r>
        <w:rPr>
          <w:rFonts w:ascii="Times New Roman" w:hAnsi="Times New Roman"/>
          <w:sz w:val="24"/>
          <w:szCs w:val="24"/>
        </w:rPr>
        <w:t>ам</w:t>
      </w:r>
      <w:r w:rsidRPr="00AE64A6">
        <w:rPr>
          <w:rFonts w:ascii="Times New Roman" w:hAnsi="Times New Roman"/>
          <w:sz w:val="24"/>
          <w:szCs w:val="24"/>
        </w:rPr>
        <w:t xml:space="preserve"> регулярных перевозок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следующим маршрутам: </w:t>
      </w:r>
      <w:r>
        <w:rPr>
          <w:rFonts w:ascii="Times New Roman" w:hAnsi="Times New Roman" w:cs="Times New Roman"/>
          <w:sz w:val="24"/>
          <w:szCs w:val="24"/>
        </w:rPr>
        <w:t xml:space="preserve">1)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 - </w:t>
      </w:r>
      <w:r w:rsidRPr="00AC55DE">
        <w:rPr>
          <w:rFonts w:ascii="Times New Roman" w:hAnsi="Times New Roman"/>
          <w:sz w:val="24"/>
          <w:szCs w:val="24"/>
        </w:rPr>
        <w:t xml:space="preserve">№ 103 «г. </w:t>
      </w:r>
      <w:proofErr w:type="spellStart"/>
      <w:r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 – г. Байкальск», № 107 «г. </w:t>
      </w:r>
      <w:proofErr w:type="spellStart"/>
      <w:r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proofErr w:type="gramEnd"/>
      <w:r w:rsidRPr="00AC55DE">
        <w:rPr>
          <w:rFonts w:ascii="Times New Roman" w:hAnsi="Times New Roman"/>
          <w:sz w:val="24"/>
          <w:szCs w:val="24"/>
        </w:rPr>
        <w:t xml:space="preserve"> – п. </w:t>
      </w:r>
      <w:proofErr w:type="spellStart"/>
      <w:r w:rsidRPr="00AC55DE"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AC55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2) ИП </w:t>
      </w:r>
      <w:proofErr w:type="spellStart"/>
      <w:r>
        <w:rPr>
          <w:rFonts w:ascii="Times New Roman" w:hAnsi="Times New Roman"/>
          <w:sz w:val="24"/>
          <w:szCs w:val="24"/>
        </w:rPr>
        <w:t>Велиева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</w:t>
      </w:r>
      <w:r w:rsidRPr="00AC55DE">
        <w:rPr>
          <w:rFonts w:ascii="Times New Roman" w:hAnsi="Times New Roman"/>
          <w:sz w:val="24"/>
          <w:szCs w:val="24"/>
        </w:rPr>
        <w:t xml:space="preserve">№ 102 «г. Байкальск – п. Утулик», № 104 «г. Байкальск – п. </w:t>
      </w:r>
      <w:proofErr w:type="spellStart"/>
      <w:r w:rsidRPr="00AC55DE">
        <w:rPr>
          <w:rFonts w:ascii="Times New Roman" w:hAnsi="Times New Roman"/>
          <w:sz w:val="24"/>
          <w:szCs w:val="24"/>
        </w:rPr>
        <w:t>Новоснежная</w:t>
      </w:r>
      <w:proofErr w:type="spellEnd"/>
      <w:r w:rsidRPr="00AC55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571C" w:rsidRDefault="0059571C" w:rsidP="005957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2021 году из-за роста цен на горюче-смазочные материалы, запасные части к транспортным средствам, осуществляющих перевозки пассажиров был увеличен размер тарифа на регулярные перевозки пассажиров с 2,07 рублей до 2,45 рублей.</w:t>
      </w:r>
    </w:p>
    <w:p w:rsidR="0059571C" w:rsidRDefault="0059571C" w:rsidP="00B24C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Основные характеристики пригородных маршрутов на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перевозках 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</w:t>
      </w:r>
      <w:r w:rsidR="002C217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C217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267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175">
        <w:rPr>
          <w:rFonts w:ascii="Times New Roman" w:hAnsi="Times New Roman" w:cs="Times New Roman"/>
          <w:sz w:val="24"/>
          <w:szCs w:val="24"/>
        </w:rPr>
        <w:t>а</w:t>
      </w:r>
      <w:r w:rsidRPr="006267AF">
        <w:rPr>
          <w:rFonts w:ascii="Times New Roman" w:hAnsi="Times New Roman" w:cs="Times New Roman"/>
          <w:sz w:val="24"/>
          <w:szCs w:val="24"/>
        </w:rPr>
        <w:t xml:space="preserve">  приведены в таблице №1.</w:t>
      </w:r>
    </w:p>
    <w:p w:rsidR="00B24C77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  <w:t>Таблица №1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5812"/>
        <w:gridCol w:w="1932"/>
        <w:gridCol w:w="1187"/>
      </w:tblGrid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87" w:type="dxa"/>
          </w:tcPr>
          <w:p w:rsidR="00B24C77" w:rsidRPr="006267AF" w:rsidRDefault="00B24C77" w:rsidP="00595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87" w:type="dxa"/>
          </w:tcPr>
          <w:p w:rsidR="00B24C77" w:rsidRPr="00982DCB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DCB">
              <w:rPr>
                <w:rFonts w:ascii="Times New Roman" w:hAnsi="Times New Roman" w:cs="Times New Roman"/>
                <w:sz w:val="24"/>
                <w:szCs w:val="24"/>
              </w:rPr>
              <w:t>630110</w:t>
            </w:r>
          </w:p>
        </w:tc>
      </w:tr>
      <w:tr w:rsidR="00B24C77" w:rsidRPr="00866C4D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всего 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87" w:type="dxa"/>
          </w:tcPr>
          <w:p w:rsidR="00B24C77" w:rsidRPr="00982DCB" w:rsidRDefault="00B24C77" w:rsidP="00BD42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DCB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076BFD" w:rsidRPr="00982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251" w:rsidRPr="00982D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4C77" w:rsidRPr="00866C4D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Из них охвачено автобусной маршрутной сетью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87" w:type="dxa"/>
          </w:tcPr>
          <w:p w:rsidR="00B24C77" w:rsidRPr="00982DCB" w:rsidRDefault="00B24C77" w:rsidP="00982DC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DCB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076BFD" w:rsidRPr="00982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DCB" w:rsidRPr="00982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(пригородных)</w:t>
            </w: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 маршрутов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24C77" w:rsidRPr="003C5AFC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24C77" w:rsidRPr="006267AF" w:rsidRDefault="00B24C77" w:rsidP="00076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76BFD">
              <w:rPr>
                <w:rFonts w:ascii="Times New Roman" w:hAnsi="Times New Roman" w:cs="Times New Roman"/>
                <w:sz w:val="24"/>
                <w:szCs w:val="24"/>
              </w:rPr>
              <w:t>социально-значимых автобусных маршрутов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7" w:type="dxa"/>
          </w:tcPr>
          <w:p w:rsidR="00B24C77" w:rsidRPr="003C5AFC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77" w:rsidRPr="003C5AFC" w:rsidRDefault="00076BFD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Протяженность автобусных маршрутов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B24C77" w:rsidRPr="003C5AFC" w:rsidRDefault="00866C4D" w:rsidP="00866C4D">
            <w:pPr>
              <w:pStyle w:val="a3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198,44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субъектов, осуществляющих перевозки пассажиров 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24C77" w:rsidRPr="003C5AFC" w:rsidRDefault="00866C4D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4C77" w:rsidRPr="003C5AFC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подвижного состава, используемого для перевозки пассажиров 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24C77" w:rsidRPr="003C5AFC" w:rsidRDefault="00866C4D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Основные термины, применяемые в</w:t>
      </w:r>
      <w:r w:rsidR="00076BFD">
        <w:rPr>
          <w:rFonts w:ascii="Times New Roman" w:hAnsi="Times New Roman" w:cs="Times New Roman"/>
          <w:sz w:val="24"/>
          <w:szCs w:val="24"/>
        </w:rPr>
        <w:t xml:space="preserve"> </w:t>
      </w:r>
      <w:r w:rsidR="00DD2107">
        <w:rPr>
          <w:rFonts w:ascii="Times New Roman" w:hAnsi="Times New Roman" w:cs="Times New Roman"/>
          <w:sz w:val="24"/>
          <w:szCs w:val="24"/>
        </w:rPr>
        <w:t>отчете</w:t>
      </w:r>
      <w:r w:rsidRPr="006267AF">
        <w:rPr>
          <w:rFonts w:ascii="Times New Roman" w:hAnsi="Times New Roman" w:cs="Times New Roman"/>
          <w:sz w:val="24"/>
          <w:szCs w:val="24"/>
        </w:rPr>
        <w:t>: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перевозки – регулярные пассажирские перевозки пассажиров на пригородных маршрутах, между поселениями в границах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Слюдянск</w:t>
      </w:r>
      <w:r w:rsidR="002C217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C217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267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175">
        <w:rPr>
          <w:rFonts w:ascii="Times New Roman" w:hAnsi="Times New Roman" w:cs="Times New Roman"/>
          <w:sz w:val="24"/>
          <w:szCs w:val="24"/>
        </w:rPr>
        <w:t>а</w:t>
      </w:r>
      <w:r w:rsidRPr="006267AF">
        <w:rPr>
          <w:rFonts w:ascii="Times New Roman" w:hAnsi="Times New Roman" w:cs="Times New Roman"/>
          <w:sz w:val="24"/>
          <w:szCs w:val="24"/>
        </w:rPr>
        <w:t xml:space="preserve"> автомобильным транспортом общего пользования.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ab/>
        <w:t xml:space="preserve">К регулярным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пассажирским перевозкам  относятся пассажирские перевозки, выполняемые ежедневно или в определенные дни недели по установленным графикам (расписаниям). 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Маршрутом является установленный путь следования автобуса (маршрутного микроавтобуса) между определенными пунктами.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Социально-значимые маршруты – пригородные маршруты по м</w:t>
      </w:r>
      <w:r>
        <w:rPr>
          <w:rFonts w:ascii="Times New Roman" w:hAnsi="Times New Roman" w:cs="Times New Roman"/>
          <w:sz w:val="24"/>
          <w:szCs w:val="24"/>
        </w:rPr>
        <w:t>униципальны</w:t>
      </w:r>
      <w:r w:rsidRPr="006267AF">
        <w:rPr>
          <w:rFonts w:ascii="Times New Roman" w:hAnsi="Times New Roman" w:cs="Times New Roman"/>
          <w:sz w:val="24"/>
          <w:szCs w:val="24"/>
        </w:rPr>
        <w:t xml:space="preserve">м перевозкам пассажиров с нестабильным пассажиропотоком. 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Нестабильный пассажиропоток – пассажиропоток ограниченного объема, с явно выраженными колебаниями по часам суток, дням недели, не обеспечивающий безубыточную работу перевозчиков. 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B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6BFD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076BFD">
        <w:rPr>
          <w:rFonts w:ascii="Times New Roman" w:hAnsi="Times New Roman" w:cs="Times New Roman"/>
          <w:sz w:val="24"/>
          <w:szCs w:val="24"/>
        </w:rPr>
        <w:t xml:space="preserve"> районе действует 7 муниципальных пригородных автобусных маршрутов (из них – 6 пригородных муниципальных маршрутов и 1 сезонный муниципальный маршрут), на обслуживание которых заключены 3 муниципальных контракта с </w:t>
      </w:r>
      <w:r w:rsidR="00505AF3">
        <w:rPr>
          <w:rFonts w:ascii="Times New Roman" w:hAnsi="Times New Roman" w:cs="Times New Roman"/>
          <w:sz w:val="24"/>
          <w:szCs w:val="24"/>
        </w:rPr>
        <w:t>2</w:t>
      </w:r>
      <w:r w:rsidRPr="00076BFD">
        <w:rPr>
          <w:rFonts w:ascii="Times New Roman" w:hAnsi="Times New Roman" w:cs="Times New Roman"/>
          <w:sz w:val="24"/>
          <w:szCs w:val="24"/>
        </w:rPr>
        <w:t xml:space="preserve"> хозяйствующими субъектами малого и среднего предпринимательства, из них 2 маршрута признаны в соответствии с нормативными правовыми актами администрации муниципального района социально-значимыми маршрутами: маршрут </w:t>
      </w:r>
      <w:r w:rsidRPr="00076BFD">
        <w:rPr>
          <w:rFonts w:ascii="Times New Roman" w:hAnsi="Times New Roman"/>
          <w:sz w:val="24"/>
          <w:szCs w:val="24"/>
        </w:rPr>
        <w:t>№ 10</w:t>
      </w:r>
      <w:r w:rsidR="00505AF3">
        <w:rPr>
          <w:rFonts w:ascii="Times New Roman" w:hAnsi="Times New Roman"/>
          <w:sz w:val="24"/>
          <w:szCs w:val="24"/>
        </w:rPr>
        <w:t>4</w:t>
      </w:r>
      <w:r w:rsidRPr="00076BFD">
        <w:rPr>
          <w:rFonts w:ascii="Times New Roman" w:hAnsi="Times New Roman"/>
          <w:sz w:val="24"/>
          <w:szCs w:val="24"/>
        </w:rPr>
        <w:t xml:space="preserve"> «</w:t>
      </w:r>
      <w:r w:rsidR="00505AF3">
        <w:rPr>
          <w:rFonts w:ascii="Times New Roman" w:hAnsi="Times New Roman"/>
          <w:sz w:val="24"/>
          <w:szCs w:val="24"/>
        </w:rPr>
        <w:t>г. Байкальск</w:t>
      </w:r>
      <w:r w:rsidRPr="00076BFD">
        <w:rPr>
          <w:rFonts w:ascii="Times New Roman" w:hAnsi="Times New Roman"/>
          <w:sz w:val="24"/>
          <w:szCs w:val="24"/>
        </w:rPr>
        <w:t xml:space="preserve"> – </w:t>
      </w:r>
      <w:r w:rsidR="00505AF3">
        <w:rPr>
          <w:rFonts w:ascii="Times New Roman" w:hAnsi="Times New Roman"/>
          <w:sz w:val="24"/>
          <w:szCs w:val="24"/>
        </w:rPr>
        <w:t>с</w:t>
      </w:r>
      <w:r w:rsidRPr="00076B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5AF3">
        <w:rPr>
          <w:rFonts w:ascii="Times New Roman" w:hAnsi="Times New Roman"/>
          <w:sz w:val="24"/>
          <w:szCs w:val="24"/>
        </w:rPr>
        <w:t>Новоснежная</w:t>
      </w:r>
      <w:proofErr w:type="spellEnd"/>
      <w:r w:rsidRPr="00076BFD">
        <w:rPr>
          <w:rFonts w:ascii="Times New Roman" w:hAnsi="Times New Roman"/>
          <w:sz w:val="24"/>
          <w:szCs w:val="24"/>
        </w:rPr>
        <w:t>»</w:t>
      </w:r>
      <w:r w:rsidR="00505AF3">
        <w:rPr>
          <w:rFonts w:ascii="Times New Roman" w:hAnsi="Times New Roman"/>
          <w:sz w:val="24"/>
          <w:szCs w:val="24"/>
        </w:rPr>
        <w:t xml:space="preserve"> (признан в 2020</w:t>
      </w:r>
      <w:proofErr w:type="gramEnd"/>
      <w:r w:rsidR="00505AF3">
        <w:rPr>
          <w:rFonts w:ascii="Times New Roman" w:hAnsi="Times New Roman"/>
          <w:sz w:val="24"/>
          <w:szCs w:val="24"/>
        </w:rPr>
        <w:t xml:space="preserve"> году)</w:t>
      </w:r>
      <w:r w:rsidRPr="00076BFD">
        <w:rPr>
          <w:rFonts w:ascii="Times New Roman" w:hAnsi="Times New Roman"/>
          <w:sz w:val="24"/>
          <w:szCs w:val="24"/>
        </w:rPr>
        <w:t>, № 109 «г. Слюдянка – с. Тибельти».</w:t>
      </w:r>
      <w:r w:rsidRPr="00076BFD">
        <w:rPr>
          <w:rFonts w:ascii="Times New Roman" w:hAnsi="Times New Roman" w:cs="Times New Roman"/>
          <w:sz w:val="24"/>
          <w:szCs w:val="24"/>
        </w:rPr>
        <w:t xml:space="preserve"> Субсидирование социально-значимых маршрутов осуществляется за счет средств бюджета </w:t>
      </w:r>
      <w:proofErr w:type="spellStart"/>
      <w:r w:rsidRPr="00076BFD">
        <w:rPr>
          <w:rFonts w:ascii="Times New Roman" w:hAnsi="Times New Roman" w:cs="Times New Roman"/>
          <w:sz w:val="24"/>
          <w:szCs w:val="24"/>
        </w:rPr>
        <w:t>Слюдянск</w:t>
      </w:r>
      <w:r w:rsidR="00505AF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05AF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76BF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5AF3">
        <w:rPr>
          <w:rFonts w:ascii="Times New Roman" w:hAnsi="Times New Roman" w:cs="Times New Roman"/>
          <w:sz w:val="24"/>
          <w:szCs w:val="24"/>
        </w:rPr>
        <w:t>а</w:t>
      </w:r>
      <w:r w:rsidRPr="00076BFD">
        <w:rPr>
          <w:rFonts w:ascii="Times New Roman" w:hAnsi="Times New Roman" w:cs="Times New Roman"/>
          <w:sz w:val="24"/>
          <w:szCs w:val="24"/>
        </w:rPr>
        <w:t>.</w:t>
      </w:r>
    </w:p>
    <w:p w:rsidR="00076BFD" w:rsidRPr="00704236" w:rsidRDefault="00B24C77" w:rsidP="00076BFD">
      <w:pPr>
        <w:spacing w:line="276" w:lineRule="auto"/>
        <w:ind w:firstLine="709"/>
        <w:jc w:val="both"/>
      </w:pPr>
      <w:r w:rsidRPr="006267AF">
        <w:t>Не охвачены услугами пассажирского автомобильного транспорта жители</w:t>
      </w:r>
      <w:r w:rsidR="00076BFD" w:rsidRPr="00076BFD">
        <w:t xml:space="preserve"> </w:t>
      </w:r>
      <w:r w:rsidR="00076BFD">
        <w:t>следующих населенных</w:t>
      </w:r>
      <w:r w:rsidR="00076BFD" w:rsidRPr="00704236">
        <w:t xml:space="preserve"> пункт</w:t>
      </w:r>
      <w:r w:rsidR="00076BFD">
        <w:t>ов</w:t>
      </w:r>
      <w:r w:rsidR="00076BFD" w:rsidRPr="00704236">
        <w:t xml:space="preserve">: п. </w:t>
      </w:r>
      <w:proofErr w:type="spellStart"/>
      <w:r w:rsidR="00076BFD" w:rsidRPr="00704236">
        <w:t>Паньковка</w:t>
      </w:r>
      <w:proofErr w:type="spellEnd"/>
      <w:r w:rsidR="00076BFD" w:rsidRPr="00704236">
        <w:t xml:space="preserve"> 1-я, п. </w:t>
      </w:r>
      <w:proofErr w:type="spellStart"/>
      <w:r w:rsidR="00076BFD" w:rsidRPr="00704236">
        <w:t>Паньковка</w:t>
      </w:r>
      <w:proofErr w:type="spellEnd"/>
      <w:r w:rsidR="00076BFD" w:rsidRPr="00704236">
        <w:t xml:space="preserve"> 2-я, п. </w:t>
      </w:r>
      <w:proofErr w:type="spellStart"/>
      <w:r w:rsidR="00076BFD" w:rsidRPr="00704236">
        <w:t>Ангасольская</w:t>
      </w:r>
      <w:proofErr w:type="spellEnd"/>
      <w:r w:rsidR="00076BFD" w:rsidRPr="00704236">
        <w:t xml:space="preserve">, </w:t>
      </w:r>
      <w:proofErr w:type="spellStart"/>
      <w:r w:rsidR="00076BFD" w:rsidRPr="00704236">
        <w:t>п.ж.д.ст</w:t>
      </w:r>
      <w:proofErr w:type="spellEnd"/>
      <w:r w:rsidR="00076BFD" w:rsidRPr="00704236">
        <w:t xml:space="preserve">. </w:t>
      </w:r>
      <w:proofErr w:type="spellStart"/>
      <w:r w:rsidR="00076BFD" w:rsidRPr="00704236">
        <w:t>Андрияновская</w:t>
      </w:r>
      <w:proofErr w:type="spellEnd"/>
      <w:r w:rsidR="00076BFD" w:rsidRPr="00704236">
        <w:t xml:space="preserve">, п. Широкая, п. Байкал, с. </w:t>
      </w:r>
      <w:proofErr w:type="spellStart"/>
      <w:r w:rsidR="00076BFD" w:rsidRPr="00704236">
        <w:t>Маритуй</w:t>
      </w:r>
      <w:proofErr w:type="spellEnd"/>
      <w:r w:rsidR="00076BFD" w:rsidRPr="00704236">
        <w:t xml:space="preserve">, </w:t>
      </w:r>
      <w:proofErr w:type="spellStart"/>
      <w:r w:rsidR="00076BFD" w:rsidRPr="00704236">
        <w:t>п</w:t>
      </w:r>
      <w:proofErr w:type="gramStart"/>
      <w:r w:rsidR="00076BFD" w:rsidRPr="00704236">
        <w:t>.Б</w:t>
      </w:r>
      <w:proofErr w:type="gramEnd"/>
      <w:r w:rsidR="00076BFD" w:rsidRPr="00704236">
        <w:t>аклань</w:t>
      </w:r>
      <w:proofErr w:type="spellEnd"/>
      <w:r w:rsidR="00076BFD" w:rsidRPr="00704236">
        <w:t xml:space="preserve">, п. Половинная, п. Пономаревка, п. </w:t>
      </w:r>
      <w:proofErr w:type="spellStart"/>
      <w:r w:rsidR="00076BFD" w:rsidRPr="00704236">
        <w:t>Пыловка</w:t>
      </w:r>
      <w:proofErr w:type="spellEnd"/>
      <w:r w:rsidR="00076BFD" w:rsidRPr="00704236">
        <w:t xml:space="preserve">, п. </w:t>
      </w:r>
      <w:proofErr w:type="spellStart"/>
      <w:r w:rsidR="00076BFD" w:rsidRPr="00704236">
        <w:t>Уланово</w:t>
      </w:r>
      <w:proofErr w:type="spellEnd"/>
      <w:r w:rsidR="00076BFD" w:rsidRPr="00704236">
        <w:t xml:space="preserve">, п. </w:t>
      </w:r>
      <w:proofErr w:type="spellStart"/>
      <w:r w:rsidR="00076BFD" w:rsidRPr="00704236">
        <w:t>Шаражалгай</w:t>
      </w:r>
      <w:proofErr w:type="spellEnd"/>
      <w:r w:rsidR="00076BFD" w:rsidRPr="00704236">
        <w:t xml:space="preserve">, п. Шумиха. Транспортная доступность обеспечивается в вышеуказанных пунктах только или водным транспортом или железнодорожным транспортом. 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lastRenderedPageBreak/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пригородных </w:t>
      </w:r>
      <w:r w:rsidRPr="006267AF">
        <w:rPr>
          <w:rFonts w:ascii="Times New Roman" w:hAnsi="Times New Roman" w:cs="Times New Roman"/>
          <w:sz w:val="24"/>
          <w:szCs w:val="24"/>
        </w:rPr>
        <w:t xml:space="preserve">маршрутах перевозчиками используется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5AF3">
        <w:rPr>
          <w:rFonts w:ascii="Times New Roman" w:hAnsi="Times New Roman" w:cs="Times New Roman"/>
          <w:sz w:val="24"/>
          <w:szCs w:val="24"/>
        </w:rPr>
        <w:t>3</w:t>
      </w:r>
      <w:r w:rsidRPr="006267AF">
        <w:rPr>
          <w:rFonts w:ascii="Times New Roman" w:hAnsi="Times New Roman" w:cs="Times New Roman"/>
          <w:sz w:val="24"/>
          <w:szCs w:val="24"/>
        </w:rPr>
        <w:t xml:space="preserve"> единиц  подвижного состава, </w:t>
      </w:r>
      <w:r w:rsidR="00505AF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5957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среднего класса (</w:t>
      </w:r>
      <w:r w:rsidRPr="006F24C9">
        <w:rPr>
          <w:rFonts w:ascii="Times New Roman" w:hAnsi="Times New Roman" w:cs="Times New Roman"/>
          <w:sz w:val="24"/>
          <w:szCs w:val="24"/>
        </w:rPr>
        <w:t xml:space="preserve">длина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proofErr w:type="gramStart"/>
      <w:r w:rsidRPr="006F24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24C9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6F24C9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6F24C9">
        <w:rPr>
          <w:rFonts w:ascii="Times New Roman" w:hAnsi="Times New Roman" w:cs="Times New Roman"/>
          <w:sz w:val="24"/>
          <w:szCs w:val="24"/>
        </w:rPr>
        <w:t xml:space="preserve"> 7,5 метра до 10 метров включительно;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59571C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транспортных средства малого класса (</w:t>
      </w:r>
      <w:r w:rsidRPr="006F24C9">
        <w:rPr>
          <w:rFonts w:ascii="Times New Roman" w:hAnsi="Times New Roman" w:cs="Times New Roman"/>
          <w:sz w:val="24"/>
          <w:szCs w:val="24"/>
        </w:rPr>
        <w:t xml:space="preserve">длина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Pr="006F24C9">
        <w:rPr>
          <w:rFonts w:ascii="Times New Roman" w:hAnsi="Times New Roman" w:cs="Times New Roman"/>
          <w:sz w:val="24"/>
          <w:szCs w:val="24"/>
        </w:rPr>
        <w:t>от более чем 5 метров до 7,5 метра включительно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67A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</w:t>
      </w:r>
      <w:r w:rsidR="009B003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контракта  экологический класс транспортных средств, используемых на муниципальных маршрутах должен быть не ниже Евро-3</w:t>
      </w:r>
      <w:r w:rsidRPr="009B003D">
        <w:rPr>
          <w:rFonts w:ascii="Times New Roman" w:hAnsi="Times New Roman" w:cs="Times New Roman"/>
          <w:sz w:val="24"/>
          <w:szCs w:val="24"/>
        </w:rPr>
        <w:t xml:space="preserve">. В настоящее время </w:t>
      </w:r>
      <w:r w:rsidR="009B003D" w:rsidRPr="009B003D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Pr="009B003D">
        <w:rPr>
          <w:rFonts w:ascii="Times New Roman" w:hAnsi="Times New Roman" w:cs="Times New Roman"/>
          <w:sz w:val="24"/>
          <w:szCs w:val="24"/>
        </w:rPr>
        <w:t>общественного контроля над перевозками пассажиров</w:t>
      </w:r>
      <w:r w:rsidR="009B003D" w:rsidRPr="009B003D">
        <w:rPr>
          <w:rFonts w:ascii="Times New Roman" w:hAnsi="Times New Roman" w:cs="Times New Roman"/>
          <w:sz w:val="24"/>
          <w:szCs w:val="24"/>
        </w:rPr>
        <w:t xml:space="preserve"> на</w:t>
      </w:r>
      <w:r w:rsidR="009B003D">
        <w:rPr>
          <w:rFonts w:ascii="Times New Roman" w:hAnsi="Times New Roman" w:cs="Times New Roman"/>
          <w:sz w:val="24"/>
          <w:szCs w:val="24"/>
        </w:rPr>
        <w:t xml:space="preserve"> территории муниципального района действует «горячая линия» +7 (39544) 51511. Проводятся проверки по соблюдению расписания движения перевозчиками с составлением актов</w:t>
      </w:r>
      <w:r w:rsidR="00505AF3">
        <w:rPr>
          <w:rFonts w:ascii="Times New Roman" w:hAnsi="Times New Roman" w:cs="Times New Roman"/>
          <w:sz w:val="24"/>
          <w:szCs w:val="24"/>
        </w:rPr>
        <w:t xml:space="preserve"> о выявленных нарушениях</w:t>
      </w:r>
      <w:r w:rsidR="00076BFD">
        <w:rPr>
          <w:rFonts w:ascii="Times New Roman" w:hAnsi="Times New Roman" w:cs="Times New Roman"/>
          <w:sz w:val="24"/>
          <w:szCs w:val="24"/>
        </w:rPr>
        <w:t>.</w:t>
      </w:r>
      <w:r w:rsidR="00505AF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муниципальных контрактах, перевозчикам, нарушившим условия исполнения муниципальных контрактов, выставляются штрафы. В 2020 году было выставлено </w:t>
      </w:r>
      <w:r w:rsidR="00EE0BA4">
        <w:rPr>
          <w:rFonts w:ascii="Times New Roman" w:hAnsi="Times New Roman" w:cs="Times New Roman"/>
          <w:sz w:val="24"/>
          <w:szCs w:val="24"/>
        </w:rPr>
        <w:t>15</w:t>
      </w:r>
      <w:r w:rsidR="00505AF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EE0BA4">
        <w:rPr>
          <w:rFonts w:ascii="Times New Roman" w:hAnsi="Times New Roman" w:cs="Times New Roman"/>
          <w:sz w:val="24"/>
          <w:szCs w:val="24"/>
        </w:rPr>
        <w:t>ов</w:t>
      </w:r>
      <w:r w:rsidR="00505AF3">
        <w:rPr>
          <w:rFonts w:ascii="Times New Roman" w:hAnsi="Times New Roman" w:cs="Times New Roman"/>
          <w:sz w:val="24"/>
          <w:szCs w:val="24"/>
        </w:rPr>
        <w:t xml:space="preserve"> на общую сумму 1</w:t>
      </w:r>
      <w:r w:rsidR="00EE0BA4">
        <w:rPr>
          <w:rFonts w:ascii="Times New Roman" w:hAnsi="Times New Roman" w:cs="Times New Roman"/>
          <w:sz w:val="24"/>
          <w:szCs w:val="24"/>
        </w:rPr>
        <w:t>5</w:t>
      </w:r>
      <w:r w:rsidR="00505AF3">
        <w:rPr>
          <w:rFonts w:ascii="Times New Roman" w:hAnsi="Times New Roman" w:cs="Times New Roman"/>
          <w:sz w:val="24"/>
          <w:szCs w:val="24"/>
        </w:rPr>
        <w:t>000,00 рублей.</w:t>
      </w:r>
    </w:p>
    <w:p w:rsidR="00B24C77" w:rsidRPr="00777E5A" w:rsidRDefault="00EE0BA4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BA4">
        <w:rPr>
          <w:rFonts w:ascii="Times New Roman" w:hAnsi="Times New Roman" w:cs="Times New Roman"/>
          <w:sz w:val="24"/>
          <w:szCs w:val="24"/>
        </w:rPr>
        <w:t>Ранее действующей муниципальной 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E0BA4">
        <w:rPr>
          <w:rFonts w:ascii="Times New Roman" w:hAnsi="Times New Roman" w:cs="Times New Roman"/>
          <w:sz w:val="24"/>
          <w:szCs w:val="24"/>
        </w:rPr>
        <w:t xml:space="preserve"> «</w:t>
      </w:r>
      <w:r w:rsidRPr="00EE0BA4">
        <w:rPr>
          <w:rFonts w:ascii="Times New Roman" w:hAnsi="Times New Roman" w:cs="Times New Roman"/>
          <w:color w:val="000000"/>
          <w:sz w:val="24"/>
          <w:szCs w:val="24"/>
        </w:rPr>
        <w:t xml:space="preserve">«Повышение транспортной доступности, обеспечение условий для реализации потребностей граждан </w:t>
      </w:r>
      <w:proofErr w:type="spellStart"/>
      <w:r w:rsidRPr="00EE0BA4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Pr="00EE0BA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района в перевозках" на 2019-2024гг.</w:t>
      </w:r>
      <w:r w:rsidRPr="00EE0BA4">
        <w:rPr>
          <w:rFonts w:ascii="Times New Roman" w:hAnsi="Times New Roman" w:cs="Times New Roman"/>
          <w:sz w:val="24"/>
          <w:szCs w:val="24"/>
        </w:rPr>
        <w:t>»,  в</w:t>
      </w:r>
      <w:r w:rsidR="00B24C77" w:rsidRPr="00EE0BA4">
        <w:rPr>
          <w:rFonts w:ascii="Times New Roman" w:hAnsi="Times New Roman" w:cs="Times New Roman"/>
          <w:sz w:val="24"/>
          <w:szCs w:val="24"/>
        </w:rPr>
        <w:t xml:space="preserve"> </w:t>
      </w:r>
      <w:r w:rsidR="00B24C77" w:rsidRPr="006267AF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B24C77" w:rsidRPr="006267AF">
        <w:rPr>
          <w:rFonts w:ascii="Times New Roman" w:hAnsi="Times New Roman" w:cs="Times New Roman"/>
          <w:sz w:val="24"/>
          <w:szCs w:val="24"/>
        </w:rPr>
        <w:t xml:space="preserve"> повышения качества и безопасности перевозок пассажиров, обновления парка транспортных средств, возмещения затрат в связи с реализацией мероприятий, направленных на поддержку субъектов малого и среднего предпринимательства, осуществляющих в </w:t>
      </w:r>
      <w:proofErr w:type="spellStart"/>
      <w:r w:rsidR="00B24C77" w:rsidRPr="006267AF">
        <w:rPr>
          <w:rFonts w:ascii="Times New Roman" w:hAnsi="Times New Roman" w:cs="Times New Roman"/>
          <w:sz w:val="24"/>
          <w:szCs w:val="24"/>
        </w:rPr>
        <w:t>Слюд</w:t>
      </w:r>
      <w:r w:rsidR="00B24C77">
        <w:rPr>
          <w:rFonts w:ascii="Times New Roman" w:hAnsi="Times New Roman" w:cs="Times New Roman"/>
          <w:sz w:val="24"/>
          <w:szCs w:val="24"/>
        </w:rPr>
        <w:t>янском</w:t>
      </w:r>
      <w:proofErr w:type="spellEnd"/>
      <w:r w:rsidR="00B24C77">
        <w:rPr>
          <w:rFonts w:ascii="Times New Roman" w:hAnsi="Times New Roman" w:cs="Times New Roman"/>
          <w:sz w:val="24"/>
          <w:szCs w:val="24"/>
        </w:rPr>
        <w:t xml:space="preserve"> районе муниципальные пригородные</w:t>
      </w:r>
      <w:r w:rsidR="00B24C77" w:rsidRPr="006267AF">
        <w:rPr>
          <w:rFonts w:ascii="Times New Roman" w:hAnsi="Times New Roman" w:cs="Times New Roman"/>
          <w:sz w:val="24"/>
          <w:szCs w:val="24"/>
        </w:rPr>
        <w:t xml:space="preserve"> перевозки населения  </w:t>
      </w:r>
      <w:r w:rsidR="00B24C77">
        <w:rPr>
          <w:rFonts w:ascii="Times New Roman" w:hAnsi="Times New Roman" w:cs="Times New Roman"/>
          <w:sz w:val="24"/>
          <w:szCs w:val="24"/>
        </w:rPr>
        <w:t>за период с 2014 года</w:t>
      </w:r>
      <w:proofErr w:type="gramEnd"/>
      <w:r w:rsidR="00B24C77">
        <w:rPr>
          <w:rFonts w:ascii="Times New Roman" w:hAnsi="Times New Roman" w:cs="Times New Roman"/>
          <w:sz w:val="24"/>
          <w:szCs w:val="24"/>
        </w:rPr>
        <w:t xml:space="preserve"> по </w:t>
      </w:r>
      <w:r w:rsidR="00505AF3">
        <w:rPr>
          <w:rFonts w:ascii="Times New Roman" w:hAnsi="Times New Roman" w:cs="Times New Roman"/>
          <w:sz w:val="24"/>
          <w:szCs w:val="24"/>
        </w:rPr>
        <w:t>31</w:t>
      </w:r>
      <w:r w:rsidR="00B24C77">
        <w:rPr>
          <w:rFonts w:ascii="Times New Roman" w:hAnsi="Times New Roman" w:cs="Times New Roman"/>
          <w:sz w:val="24"/>
          <w:szCs w:val="24"/>
        </w:rPr>
        <w:t xml:space="preserve"> </w:t>
      </w:r>
      <w:r w:rsidR="00505AF3">
        <w:rPr>
          <w:rFonts w:ascii="Times New Roman" w:hAnsi="Times New Roman" w:cs="Times New Roman"/>
          <w:sz w:val="24"/>
          <w:szCs w:val="24"/>
        </w:rPr>
        <w:t>декабря</w:t>
      </w:r>
      <w:r w:rsidR="00B24C77">
        <w:rPr>
          <w:rFonts w:ascii="Times New Roman" w:hAnsi="Times New Roman" w:cs="Times New Roman"/>
          <w:sz w:val="24"/>
          <w:szCs w:val="24"/>
        </w:rPr>
        <w:t xml:space="preserve"> 20</w:t>
      </w:r>
      <w:r w:rsidR="00505AF3">
        <w:rPr>
          <w:rFonts w:ascii="Times New Roman" w:hAnsi="Times New Roman" w:cs="Times New Roman"/>
          <w:sz w:val="24"/>
          <w:szCs w:val="24"/>
        </w:rPr>
        <w:t>20</w:t>
      </w:r>
      <w:r w:rsidR="00B24C77">
        <w:rPr>
          <w:rFonts w:ascii="Times New Roman" w:hAnsi="Times New Roman" w:cs="Times New Roman"/>
          <w:sz w:val="24"/>
          <w:szCs w:val="24"/>
        </w:rPr>
        <w:t xml:space="preserve"> года было</w:t>
      </w:r>
      <w:r w:rsidR="00B24C77" w:rsidRPr="006267AF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B24C77">
        <w:rPr>
          <w:rFonts w:ascii="Times New Roman" w:hAnsi="Times New Roman" w:cs="Times New Roman"/>
          <w:sz w:val="24"/>
          <w:szCs w:val="24"/>
        </w:rPr>
        <w:t>о</w:t>
      </w:r>
      <w:r w:rsidR="00B24C77" w:rsidRPr="006267AF">
        <w:rPr>
          <w:rFonts w:ascii="Times New Roman" w:hAnsi="Times New Roman" w:cs="Times New Roman"/>
          <w:sz w:val="24"/>
          <w:szCs w:val="24"/>
        </w:rPr>
        <w:t xml:space="preserve"> субсидий из районного </w:t>
      </w:r>
      <w:r w:rsidR="00B24C77" w:rsidRPr="00777E5A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115ABD" w:rsidRPr="00777E5A">
        <w:rPr>
          <w:rFonts w:ascii="Times New Roman" w:hAnsi="Times New Roman" w:cs="Times New Roman"/>
          <w:sz w:val="24"/>
          <w:szCs w:val="24"/>
        </w:rPr>
        <w:t>7</w:t>
      </w:r>
      <w:r w:rsidR="00D139C5">
        <w:rPr>
          <w:rFonts w:ascii="Times New Roman" w:hAnsi="Times New Roman" w:cs="Times New Roman"/>
          <w:sz w:val="24"/>
          <w:szCs w:val="24"/>
        </w:rPr>
        <w:t>230036,48</w:t>
      </w:r>
      <w:r w:rsidR="00B24C77" w:rsidRPr="00777E5A">
        <w:rPr>
          <w:rFonts w:ascii="Times New Roman" w:hAnsi="Times New Roman" w:cs="Times New Roman"/>
          <w:sz w:val="24"/>
          <w:szCs w:val="24"/>
        </w:rPr>
        <w:t xml:space="preserve"> руб., в том  числе</w:t>
      </w:r>
    </w:p>
    <w:p w:rsidR="00B24C77" w:rsidRPr="00777E5A" w:rsidRDefault="00B24C77" w:rsidP="00B24C77">
      <w:pPr>
        <w:autoSpaceDE w:val="0"/>
        <w:autoSpaceDN w:val="0"/>
        <w:adjustRightInd w:val="0"/>
        <w:ind w:firstLine="540"/>
        <w:jc w:val="both"/>
      </w:pPr>
      <w:r w:rsidRPr="00777E5A">
        <w:t>- на субсидирование части затрат на приобретение автобусов вместимостью более 22 мест –49</w:t>
      </w:r>
      <w:r w:rsidR="00115ABD" w:rsidRPr="00777E5A">
        <w:t>21906,92</w:t>
      </w:r>
      <w:r w:rsidRPr="00777E5A">
        <w:t xml:space="preserve"> руб. За период с 2015 года по 2018 год было приобретено в лизинг 3 автобуса среднего класса для осуществления перевозок населения по пригородным маршрутам.</w:t>
      </w:r>
      <w:r w:rsidRPr="00777E5A">
        <w:rPr>
          <w:rFonts w:eastAsiaTheme="minorHAnsi"/>
          <w:lang w:eastAsia="en-US"/>
        </w:rPr>
        <w:t xml:space="preserve"> Приобретение новых автобусов дало возможность  обновить парк автобусов на маршруте № 103 «г. Слюдянка – г. Байкальск»</w:t>
      </w:r>
      <w:r w:rsidR="00DD2107">
        <w:rPr>
          <w:rFonts w:eastAsiaTheme="minorHAnsi"/>
          <w:lang w:eastAsia="en-US"/>
        </w:rPr>
        <w:t>, в том числе в 2020 году – 0 рублей</w:t>
      </w:r>
      <w:r w:rsidRPr="00777E5A">
        <w:t>;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E5A">
        <w:rPr>
          <w:rFonts w:ascii="Times New Roman" w:hAnsi="Times New Roman" w:cs="Times New Roman"/>
          <w:sz w:val="24"/>
          <w:szCs w:val="24"/>
        </w:rPr>
        <w:t xml:space="preserve">- на субсидирование социально-значимых пригородных маршрутов </w:t>
      </w:r>
      <w:proofErr w:type="spellStart"/>
      <w:r w:rsidRPr="00777E5A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777E5A">
        <w:rPr>
          <w:rFonts w:ascii="Times New Roman" w:hAnsi="Times New Roman" w:cs="Times New Roman"/>
          <w:sz w:val="24"/>
          <w:szCs w:val="24"/>
        </w:rPr>
        <w:t xml:space="preserve"> перевозок пассажиров, </w:t>
      </w:r>
      <w:proofErr w:type="spellStart"/>
      <w:r w:rsidRPr="00777E5A">
        <w:rPr>
          <w:rFonts w:ascii="Times New Roman" w:hAnsi="Times New Roman" w:cs="Times New Roman"/>
          <w:sz w:val="24"/>
          <w:szCs w:val="24"/>
        </w:rPr>
        <w:t>необспечивающих</w:t>
      </w:r>
      <w:proofErr w:type="spellEnd"/>
      <w:r w:rsidRPr="00777E5A">
        <w:rPr>
          <w:rFonts w:ascii="Times New Roman" w:hAnsi="Times New Roman" w:cs="Times New Roman"/>
          <w:sz w:val="24"/>
          <w:szCs w:val="24"/>
        </w:rPr>
        <w:t xml:space="preserve"> безубыточную работу перевозчиков  </w:t>
      </w:r>
      <w:r w:rsidR="00D139C5">
        <w:rPr>
          <w:rFonts w:ascii="Times New Roman" w:hAnsi="Times New Roman" w:cs="Times New Roman"/>
          <w:sz w:val="24"/>
          <w:szCs w:val="24"/>
        </w:rPr>
        <w:t>2308129,56</w:t>
      </w:r>
      <w:r w:rsidRPr="00777E5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2107">
        <w:rPr>
          <w:rFonts w:ascii="Times New Roman" w:hAnsi="Times New Roman" w:cs="Times New Roman"/>
          <w:sz w:val="24"/>
          <w:szCs w:val="24"/>
        </w:rPr>
        <w:t>, в том числе за 2020 год – 315780,64 рублей</w:t>
      </w:r>
      <w:r w:rsidRPr="00777E5A">
        <w:rPr>
          <w:rFonts w:ascii="Times New Roman" w:hAnsi="Times New Roman" w:cs="Times New Roman"/>
          <w:sz w:val="24"/>
          <w:szCs w:val="24"/>
        </w:rPr>
        <w:t>.</w:t>
      </w:r>
    </w:p>
    <w:p w:rsidR="00EE0BA4" w:rsidRPr="006267AF" w:rsidRDefault="00EE0BA4" w:rsidP="00EE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0BA4">
        <w:rPr>
          <w:rFonts w:ascii="Times New Roman" w:hAnsi="Times New Roman" w:cs="Times New Roman"/>
          <w:sz w:val="24"/>
          <w:szCs w:val="24"/>
        </w:rPr>
        <w:t>ействующей муниципальной 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E0BA4">
        <w:rPr>
          <w:rFonts w:ascii="Times New Roman" w:hAnsi="Times New Roman" w:cs="Times New Roman"/>
          <w:sz w:val="24"/>
          <w:szCs w:val="24"/>
        </w:rPr>
        <w:t xml:space="preserve"> «</w:t>
      </w:r>
      <w:r w:rsidRPr="00EE0BA4">
        <w:rPr>
          <w:rFonts w:ascii="Times New Roman" w:hAnsi="Times New Roman" w:cs="Times New Roman"/>
          <w:color w:val="000000"/>
          <w:sz w:val="24"/>
          <w:szCs w:val="24"/>
        </w:rPr>
        <w:t xml:space="preserve">«Повышение транспортной доступности, обеспечение условий для реализации потребностей граждан </w:t>
      </w:r>
      <w:proofErr w:type="spellStart"/>
      <w:r w:rsidRPr="00EE0BA4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Pr="00EE0BA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района в перевозках" на 2019-2024гг.</w:t>
      </w:r>
      <w:r w:rsidRPr="00EE0BA4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777E5A">
        <w:rPr>
          <w:rFonts w:ascii="Times New Roman" w:hAnsi="Times New Roman" w:cs="Times New Roman"/>
          <w:sz w:val="24"/>
          <w:szCs w:val="24"/>
        </w:rPr>
        <w:t xml:space="preserve"> на субсидирование социально-значимых пригородных маршрутов </w:t>
      </w:r>
      <w:proofErr w:type="spellStart"/>
      <w:r w:rsidRPr="00777E5A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777E5A">
        <w:rPr>
          <w:rFonts w:ascii="Times New Roman" w:hAnsi="Times New Roman" w:cs="Times New Roman"/>
          <w:sz w:val="24"/>
          <w:szCs w:val="24"/>
        </w:rPr>
        <w:t xml:space="preserve"> перевозок пассажиров, </w:t>
      </w:r>
      <w:proofErr w:type="spellStart"/>
      <w:r w:rsidRPr="00777E5A">
        <w:rPr>
          <w:rFonts w:ascii="Times New Roman" w:hAnsi="Times New Roman" w:cs="Times New Roman"/>
          <w:sz w:val="24"/>
          <w:szCs w:val="24"/>
        </w:rPr>
        <w:t>необспечивающих</w:t>
      </w:r>
      <w:proofErr w:type="spellEnd"/>
      <w:r w:rsidRPr="00777E5A">
        <w:rPr>
          <w:rFonts w:ascii="Times New Roman" w:hAnsi="Times New Roman" w:cs="Times New Roman"/>
          <w:sz w:val="24"/>
          <w:szCs w:val="24"/>
        </w:rPr>
        <w:t xml:space="preserve"> безубыточную работу </w:t>
      </w:r>
      <w:r w:rsidRPr="004E7B53">
        <w:rPr>
          <w:rFonts w:ascii="Times New Roman" w:hAnsi="Times New Roman" w:cs="Times New Roman"/>
          <w:sz w:val="24"/>
          <w:szCs w:val="24"/>
        </w:rPr>
        <w:t xml:space="preserve">перевозчиков </w:t>
      </w:r>
      <w:r w:rsidR="00206F44" w:rsidRPr="004E7B53">
        <w:rPr>
          <w:rFonts w:ascii="Times New Roman" w:hAnsi="Times New Roman" w:cs="Times New Roman"/>
          <w:sz w:val="24"/>
          <w:szCs w:val="24"/>
        </w:rPr>
        <w:t>было израсходовано 267889,32</w:t>
      </w:r>
      <w:r w:rsidRPr="004E7B5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64467" w:rsidRDefault="00076BFD" w:rsidP="00076BFD">
      <w:pPr>
        <w:spacing w:line="276" w:lineRule="auto"/>
        <w:ind w:firstLine="709"/>
        <w:jc w:val="both"/>
        <w:rPr>
          <w:sz w:val="16"/>
          <w:szCs w:val="16"/>
        </w:rPr>
      </w:pPr>
      <w:r w:rsidRPr="00115ABD">
        <w:t xml:space="preserve">Суммы финансовых средств, освоенных по мероприятию «Субсидирование социально-значимых маршрутов пригородных маршрутов </w:t>
      </w:r>
      <w:proofErr w:type="spellStart"/>
      <w:r w:rsidRPr="00115ABD">
        <w:t>межпоселенческих</w:t>
      </w:r>
      <w:proofErr w:type="spellEnd"/>
      <w:r w:rsidRPr="00115ABD">
        <w:t xml:space="preserve"> перевозок пассажиров, не обеспечивающих безубыточную работу перевозчиков» муниципальной программы «Повышение транспортной доступности, обеспечение  условий для реализации потребностей граждан </w:t>
      </w:r>
      <w:proofErr w:type="spellStart"/>
      <w:r w:rsidRPr="00115ABD">
        <w:t>Слюдянск</w:t>
      </w:r>
      <w:r w:rsidR="00206F44">
        <w:t>ого</w:t>
      </w:r>
      <w:proofErr w:type="spellEnd"/>
      <w:r w:rsidR="00206F44">
        <w:t xml:space="preserve"> муниципального</w:t>
      </w:r>
      <w:r w:rsidRPr="00115ABD">
        <w:t xml:space="preserve"> район</w:t>
      </w:r>
      <w:r w:rsidR="00206F44">
        <w:t>а</w:t>
      </w:r>
      <w:r w:rsidRPr="00115ABD">
        <w:t xml:space="preserve"> в перевозках на 201</w:t>
      </w:r>
      <w:r w:rsidR="00206F44">
        <w:t>9</w:t>
      </w:r>
      <w:r w:rsidRPr="00115ABD">
        <w:t>-202</w:t>
      </w:r>
      <w:r w:rsidR="00206F44">
        <w:t>4</w:t>
      </w:r>
      <w:r w:rsidRPr="00115ABD">
        <w:t xml:space="preserve"> годы» указаны в таблице: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276"/>
        <w:gridCol w:w="992"/>
        <w:gridCol w:w="992"/>
        <w:gridCol w:w="1087"/>
        <w:gridCol w:w="47"/>
        <w:gridCol w:w="709"/>
        <w:gridCol w:w="662"/>
        <w:gridCol w:w="614"/>
      </w:tblGrid>
      <w:tr w:rsidR="00F64467" w:rsidTr="002C2175">
        <w:tc>
          <w:tcPr>
            <w:tcW w:w="1134" w:type="dxa"/>
            <w:vMerge w:val="restart"/>
          </w:tcPr>
          <w:p w:rsidR="00F64467" w:rsidRPr="002C2175" w:rsidRDefault="002C2175" w:rsidP="00115ABD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2C2175"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3261" w:type="dxa"/>
            <w:gridSpan w:val="3"/>
          </w:tcPr>
          <w:p w:rsidR="00F64467" w:rsidRDefault="00F64467" w:rsidP="00115ABD">
            <w:pPr>
              <w:spacing w:line="276" w:lineRule="auto"/>
              <w:jc w:val="both"/>
              <w:rPr>
                <w:color w:val="000000"/>
              </w:rPr>
            </w:pPr>
            <w:r w:rsidRPr="004D72B9">
              <w:rPr>
                <w:sz w:val="16"/>
                <w:szCs w:val="16"/>
              </w:rPr>
              <w:t>Сумма финансовых средств, предусмотренных Программой, руб.</w:t>
            </w:r>
          </w:p>
        </w:tc>
        <w:tc>
          <w:tcPr>
            <w:tcW w:w="3118" w:type="dxa"/>
            <w:gridSpan w:val="4"/>
          </w:tcPr>
          <w:p w:rsidR="00F64467" w:rsidRPr="004D72B9" w:rsidRDefault="00F64467" w:rsidP="003039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Сумма финансовых средств, предусмотренных Соглашением, руб.</w:t>
            </w:r>
          </w:p>
        </w:tc>
        <w:tc>
          <w:tcPr>
            <w:tcW w:w="1985" w:type="dxa"/>
            <w:gridSpan w:val="3"/>
          </w:tcPr>
          <w:p w:rsidR="00F64467" w:rsidRPr="004D72B9" w:rsidRDefault="00F64467" w:rsidP="003039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Освоено финансовых средств, руб.</w:t>
            </w:r>
          </w:p>
        </w:tc>
      </w:tr>
      <w:tr w:rsidR="00206F44" w:rsidTr="002C2175">
        <w:trPr>
          <w:cantSplit/>
          <w:trHeight w:val="333"/>
        </w:trPr>
        <w:tc>
          <w:tcPr>
            <w:tcW w:w="1134" w:type="dxa"/>
            <w:vMerge/>
          </w:tcPr>
          <w:p w:rsidR="00206F44" w:rsidRDefault="00206F44" w:rsidP="00115AB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206F44" w:rsidRPr="00527CBA" w:rsidRDefault="00206F44" w:rsidP="007974B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27CBA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</w:tcPr>
          <w:p w:rsidR="00206F44" w:rsidRPr="00527CBA" w:rsidRDefault="00206F44" w:rsidP="007974B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</w:tcPr>
          <w:p w:rsidR="00206F44" w:rsidRPr="00527CBA" w:rsidRDefault="00206F44" w:rsidP="00206F44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527CBA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527CBA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</w:tcPr>
          <w:p w:rsidR="00206F44" w:rsidRPr="00527CBA" w:rsidRDefault="00206F44" w:rsidP="004510B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27CBA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</w:tcPr>
          <w:p w:rsidR="00206F44" w:rsidRPr="00527CBA" w:rsidRDefault="00206F44" w:rsidP="004510B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087" w:type="dxa"/>
          </w:tcPr>
          <w:p w:rsidR="00206F44" w:rsidRPr="00527CBA" w:rsidRDefault="00206F44" w:rsidP="004510B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527CBA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527CBA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56" w:type="dxa"/>
            <w:gridSpan w:val="2"/>
          </w:tcPr>
          <w:p w:rsidR="00206F44" w:rsidRPr="00527CBA" w:rsidRDefault="00206F44" w:rsidP="004510B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27CBA">
              <w:rPr>
                <w:sz w:val="16"/>
                <w:szCs w:val="16"/>
              </w:rPr>
              <w:t>2019 год</w:t>
            </w:r>
          </w:p>
        </w:tc>
        <w:tc>
          <w:tcPr>
            <w:tcW w:w="662" w:type="dxa"/>
          </w:tcPr>
          <w:p w:rsidR="00206F44" w:rsidRPr="00527CBA" w:rsidRDefault="00206F44" w:rsidP="004510B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614" w:type="dxa"/>
          </w:tcPr>
          <w:p w:rsidR="00206F44" w:rsidRPr="00527CBA" w:rsidRDefault="00206F44" w:rsidP="004510B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527CBA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527CBA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206F44" w:rsidTr="002C2175">
        <w:trPr>
          <w:cantSplit/>
          <w:trHeight w:val="417"/>
        </w:trPr>
        <w:tc>
          <w:tcPr>
            <w:tcW w:w="1134" w:type="dxa"/>
          </w:tcPr>
          <w:p w:rsidR="00206F44" w:rsidRDefault="00206F44" w:rsidP="003039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206F44" w:rsidRPr="00982DCB" w:rsidRDefault="00206F44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06F44" w:rsidRPr="00982DCB" w:rsidRDefault="00206F44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06F44" w:rsidRPr="00982DCB" w:rsidRDefault="00206F44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275000,00</w:t>
            </w:r>
          </w:p>
        </w:tc>
        <w:tc>
          <w:tcPr>
            <w:tcW w:w="992" w:type="dxa"/>
          </w:tcPr>
          <w:p w:rsidR="00206F44" w:rsidRPr="003E665E" w:rsidRDefault="004E7B53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06F44" w:rsidRPr="003E665E" w:rsidRDefault="004E7B53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</w:tcPr>
          <w:p w:rsidR="00206F44" w:rsidRPr="003E665E" w:rsidRDefault="004E7B53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267889,32</w:t>
            </w:r>
          </w:p>
        </w:tc>
        <w:tc>
          <w:tcPr>
            <w:tcW w:w="756" w:type="dxa"/>
            <w:gridSpan w:val="2"/>
          </w:tcPr>
          <w:p w:rsidR="00206F44" w:rsidRPr="00982DCB" w:rsidRDefault="004E7B53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</w:tcPr>
          <w:p w:rsidR="00206F44" w:rsidRPr="00982DCB" w:rsidRDefault="004E7B53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</w:tcPr>
          <w:p w:rsidR="00206F44" w:rsidRPr="00982DCB" w:rsidRDefault="004E7B53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267889,32</w:t>
            </w:r>
          </w:p>
        </w:tc>
      </w:tr>
    </w:tbl>
    <w:p w:rsidR="00115ABD" w:rsidRDefault="00115ABD" w:rsidP="00115AB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ходе выполнения вышеуказанных мероприятий были достигнуты следующие целевые показатели муниципальной программы «Повышение транспортной доступности, обеспечение условий для реализации потребностей граждан </w:t>
      </w:r>
      <w:proofErr w:type="spellStart"/>
      <w:r>
        <w:rPr>
          <w:color w:val="000000"/>
        </w:rPr>
        <w:t>Слюдянск</w:t>
      </w:r>
      <w:r w:rsidR="00206F44">
        <w:rPr>
          <w:color w:val="000000"/>
        </w:rPr>
        <w:t>ого</w:t>
      </w:r>
      <w:proofErr w:type="spellEnd"/>
      <w:r w:rsidR="00206F44">
        <w:rPr>
          <w:color w:val="000000"/>
        </w:rPr>
        <w:t xml:space="preserve"> муниципального</w:t>
      </w:r>
      <w:r>
        <w:rPr>
          <w:color w:val="000000"/>
        </w:rPr>
        <w:t xml:space="preserve"> район</w:t>
      </w:r>
      <w:r w:rsidR="00206F44">
        <w:rPr>
          <w:color w:val="000000"/>
        </w:rPr>
        <w:t>а</w:t>
      </w:r>
      <w:r>
        <w:rPr>
          <w:color w:val="000000"/>
        </w:rPr>
        <w:t xml:space="preserve"> в перевозках на 201</w:t>
      </w:r>
      <w:r w:rsidR="00206F44">
        <w:rPr>
          <w:color w:val="000000"/>
        </w:rPr>
        <w:t>9</w:t>
      </w:r>
      <w:r>
        <w:rPr>
          <w:color w:val="000000"/>
        </w:rPr>
        <w:t>-202</w:t>
      </w:r>
      <w:r w:rsidR="00206F44">
        <w:rPr>
          <w:color w:val="000000"/>
        </w:rPr>
        <w:t xml:space="preserve">4 </w:t>
      </w:r>
      <w:r>
        <w:rPr>
          <w:color w:val="000000"/>
        </w:rPr>
        <w:t>годы»: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992"/>
        <w:gridCol w:w="993"/>
        <w:gridCol w:w="850"/>
      </w:tblGrid>
      <w:tr w:rsidR="00115ABD" w:rsidTr="002C2175"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166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166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16656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A16656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A16656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A166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A16656">
              <w:rPr>
                <w:color w:val="000000"/>
                <w:sz w:val="20"/>
                <w:szCs w:val="20"/>
              </w:rPr>
              <w:t>,+ (-)</w:t>
            </w:r>
            <w:proofErr w:type="gramEnd"/>
          </w:p>
        </w:tc>
      </w:tr>
      <w:tr w:rsidR="00115ABD" w:rsidTr="002C2175"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 xml:space="preserve">Количество </w:t>
            </w:r>
            <w:proofErr w:type="spellStart"/>
            <w:r w:rsidRPr="00A16656">
              <w:rPr>
                <w:color w:val="000000"/>
              </w:rPr>
              <w:t>межпоселенческих</w:t>
            </w:r>
            <w:proofErr w:type="spellEnd"/>
            <w:r w:rsidRPr="00A16656">
              <w:rPr>
                <w:color w:val="000000"/>
              </w:rPr>
              <w:t xml:space="preserve"> автобусных маршрутов: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115ABD" w:rsidRPr="00A16656" w:rsidRDefault="009B003D" w:rsidP="001F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15ABD" w:rsidRPr="00A16656" w:rsidRDefault="009B003D" w:rsidP="001F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0</w:t>
            </w:r>
          </w:p>
        </w:tc>
      </w:tr>
      <w:tr w:rsidR="00115ABD" w:rsidTr="002C2175"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в том числе количество социально-значимых маршрутов на территории муниципального образования Слюдянский район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115ABD" w:rsidRPr="00A16656" w:rsidRDefault="004E7B53" w:rsidP="001F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15ABD" w:rsidRPr="00A16656" w:rsidRDefault="004E7B53" w:rsidP="001F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115ABD" w:rsidTr="002C2175"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 xml:space="preserve">Количество поселений, охваченных </w:t>
            </w:r>
            <w:proofErr w:type="spellStart"/>
            <w:r w:rsidRPr="00A16656">
              <w:rPr>
                <w:color w:val="000000"/>
              </w:rPr>
              <w:t>межпоселенческими</w:t>
            </w:r>
            <w:proofErr w:type="spellEnd"/>
            <w:r w:rsidRPr="00A16656">
              <w:rPr>
                <w:color w:val="000000"/>
              </w:rPr>
              <w:t xml:space="preserve"> автобусными маршрутами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0</w:t>
            </w:r>
          </w:p>
        </w:tc>
      </w:tr>
      <w:tr w:rsidR="00115ABD" w:rsidTr="002C2175"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 xml:space="preserve">Численность населения, охваченного автобусной сетью </w:t>
            </w:r>
            <w:proofErr w:type="spellStart"/>
            <w:r w:rsidRPr="00A16656">
              <w:rPr>
                <w:color w:val="000000"/>
              </w:rPr>
              <w:t>межпоселенческих</w:t>
            </w:r>
            <w:proofErr w:type="spellEnd"/>
            <w:r w:rsidRPr="00A16656">
              <w:rPr>
                <w:color w:val="000000"/>
              </w:rPr>
              <w:t xml:space="preserve"> маршрутов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15ABD" w:rsidRPr="00777E5A" w:rsidRDefault="00115ABD" w:rsidP="001F6A93">
            <w:pPr>
              <w:jc w:val="both"/>
              <w:rPr>
                <w:color w:val="000000"/>
              </w:rPr>
            </w:pPr>
            <w:r w:rsidRPr="00777E5A">
              <w:rPr>
                <w:color w:val="000000"/>
              </w:rPr>
              <w:t>39887</w:t>
            </w:r>
          </w:p>
        </w:tc>
        <w:tc>
          <w:tcPr>
            <w:tcW w:w="993" w:type="dxa"/>
            <w:shd w:val="clear" w:color="auto" w:fill="auto"/>
          </w:tcPr>
          <w:p w:rsidR="00115ABD" w:rsidRPr="00777E5A" w:rsidRDefault="002C2175" w:rsidP="00777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38520</w:t>
            </w:r>
          </w:p>
        </w:tc>
        <w:tc>
          <w:tcPr>
            <w:tcW w:w="850" w:type="dxa"/>
            <w:shd w:val="clear" w:color="auto" w:fill="auto"/>
          </w:tcPr>
          <w:p w:rsidR="00115ABD" w:rsidRPr="00777E5A" w:rsidRDefault="00777E5A" w:rsidP="002C2175">
            <w:pPr>
              <w:jc w:val="both"/>
              <w:rPr>
                <w:color w:val="000000"/>
              </w:rPr>
            </w:pPr>
            <w:r w:rsidRPr="00777E5A">
              <w:rPr>
                <w:color w:val="000000"/>
              </w:rPr>
              <w:t>-</w:t>
            </w:r>
            <w:r w:rsidR="002C2175">
              <w:rPr>
                <w:color w:val="000000"/>
              </w:rPr>
              <w:t>1367</w:t>
            </w:r>
            <w:r w:rsidR="00115ABD" w:rsidRPr="00777E5A">
              <w:rPr>
                <w:color w:val="000000"/>
                <w:vertAlign w:val="superscript"/>
              </w:rPr>
              <w:t>*</w:t>
            </w:r>
          </w:p>
        </w:tc>
      </w:tr>
    </w:tbl>
    <w:p w:rsidR="00115ABD" w:rsidRDefault="00115ABD" w:rsidP="00115ABD">
      <w:r>
        <w:t xml:space="preserve">* - Снижение численности населения, охваченного автобусной сетью </w:t>
      </w:r>
      <w:proofErr w:type="spellStart"/>
      <w:r>
        <w:t>межпоселенческих</w:t>
      </w:r>
      <w:proofErr w:type="spellEnd"/>
      <w:r>
        <w:t xml:space="preserve"> маршрутов, связано с фактическим уменьшением численности населения </w:t>
      </w:r>
      <w:proofErr w:type="spellStart"/>
      <w:r w:rsidR="002A207B">
        <w:t>Слюдянского</w:t>
      </w:r>
      <w:proofErr w:type="spellEnd"/>
      <w:r w:rsidR="002A207B">
        <w:t xml:space="preserve"> </w:t>
      </w:r>
      <w:r>
        <w:t>муниципального район</w:t>
      </w:r>
      <w:r w:rsidR="002A207B">
        <w:t>а</w:t>
      </w:r>
      <w:r>
        <w:t xml:space="preserve"> согласно данным  государственной статистики.</w:t>
      </w:r>
    </w:p>
    <w:p w:rsidR="00115ABD" w:rsidRDefault="00115ABD" w:rsidP="00115ABD"/>
    <w:p w:rsidR="00115ABD" w:rsidRPr="00704236" w:rsidRDefault="00115ABD" w:rsidP="00115ABD">
      <w:pPr>
        <w:ind w:firstLine="709"/>
        <w:jc w:val="both"/>
        <w:rPr>
          <w:color w:val="000000"/>
        </w:rPr>
      </w:pPr>
    </w:p>
    <w:p w:rsidR="00115ABD" w:rsidRPr="00704236" w:rsidRDefault="00115ABD" w:rsidP="00115ABD">
      <w:pPr>
        <w:ind w:firstLine="709"/>
        <w:jc w:val="both"/>
        <w:rPr>
          <w:color w:val="000000"/>
        </w:rPr>
      </w:pPr>
    </w:p>
    <w:p w:rsidR="00115ABD" w:rsidRPr="0071683B" w:rsidRDefault="00115ABD" w:rsidP="00115ABD">
      <w:pPr>
        <w:rPr>
          <w:b/>
        </w:rPr>
      </w:pPr>
      <w:r w:rsidRPr="0071683B">
        <w:rPr>
          <w:b/>
        </w:rPr>
        <w:t>Начальник Управления</w:t>
      </w:r>
    </w:p>
    <w:p w:rsidR="00115ABD" w:rsidRPr="0071683B" w:rsidRDefault="00115ABD" w:rsidP="00115ABD">
      <w:pPr>
        <w:rPr>
          <w:b/>
        </w:rPr>
      </w:pPr>
      <w:r w:rsidRPr="0071683B">
        <w:rPr>
          <w:b/>
        </w:rPr>
        <w:t>социально-экономического</w:t>
      </w:r>
      <w:r w:rsidR="002A207B">
        <w:rPr>
          <w:b/>
        </w:rPr>
        <w:t xml:space="preserve">                                                                     </w:t>
      </w:r>
    </w:p>
    <w:p w:rsidR="00115ABD" w:rsidRPr="0071683B" w:rsidRDefault="00115ABD" w:rsidP="00115ABD">
      <w:pPr>
        <w:rPr>
          <w:b/>
        </w:rPr>
      </w:pPr>
      <w:r w:rsidRPr="0071683B">
        <w:rPr>
          <w:b/>
        </w:rPr>
        <w:t>развития администрации</w:t>
      </w:r>
    </w:p>
    <w:p w:rsidR="002A207B" w:rsidRPr="0071683B" w:rsidRDefault="002A207B" w:rsidP="002A207B">
      <w:pPr>
        <w:rPr>
          <w:b/>
        </w:rPr>
      </w:pP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</w:t>
      </w:r>
      <w:r w:rsidR="00115ABD" w:rsidRPr="0071683B">
        <w:rPr>
          <w:b/>
        </w:rPr>
        <w:t>район</w:t>
      </w:r>
      <w:r>
        <w:rPr>
          <w:b/>
        </w:rPr>
        <w:t xml:space="preserve">а                                                 </w:t>
      </w:r>
      <w:r w:rsidRPr="0071683B">
        <w:rPr>
          <w:b/>
        </w:rPr>
        <w:t xml:space="preserve">О.В. </w:t>
      </w:r>
      <w:proofErr w:type="spellStart"/>
      <w:r w:rsidRPr="0071683B">
        <w:rPr>
          <w:b/>
        </w:rPr>
        <w:t>Проворова</w:t>
      </w:r>
      <w:proofErr w:type="spellEnd"/>
    </w:p>
    <w:p w:rsidR="002A207B" w:rsidRDefault="002A207B" w:rsidP="00115ABD">
      <w:pPr>
        <w:rPr>
          <w:b/>
        </w:rPr>
      </w:pPr>
    </w:p>
    <w:p w:rsidR="00115ABD" w:rsidRPr="0071683B" w:rsidRDefault="00115ABD" w:rsidP="00115ABD">
      <w:pPr>
        <w:rPr>
          <w:b/>
        </w:rPr>
      </w:pPr>
      <w:r w:rsidRPr="0071683B">
        <w:rPr>
          <w:b/>
        </w:rPr>
        <w:t xml:space="preserve">                                                                                       </w:t>
      </w: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  <w:bookmarkStart w:id="0" w:name="_GoBack"/>
      <w:bookmarkEnd w:id="0"/>
    </w:p>
    <w:sectPr w:rsidR="004D72B9" w:rsidSect="002C21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AD6"/>
    <w:multiLevelType w:val="hybridMultilevel"/>
    <w:tmpl w:val="367CB222"/>
    <w:lvl w:ilvl="0" w:tplc="8BEC49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45C0E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9"/>
    <w:rsid w:val="00006D05"/>
    <w:rsid w:val="00076BFD"/>
    <w:rsid w:val="000D23E2"/>
    <w:rsid w:val="00115ABD"/>
    <w:rsid w:val="001F41F3"/>
    <w:rsid w:val="00206F44"/>
    <w:rsid w:val="002A207B"/>
    <w:rsid w:val="002C2175"/>
    <w:rsid w:val="003716FD"/>
    <w:rsid w:val="003757CC"/>
    <w:rsid w:val="003E665E"/>
    <w:rsid w:val="004D72B9"/>
    <w:rsid w:val="004E7B53"/>
    <w:rsid w:val="004F14A4"/>
    <w:rsid w:val="00505AF3"/>
    <w:rsid w:val="00527CBA"/>
    <w:rsid w:val="0059571C"/>
    <w:rsid w:val="005F3EAF"/>
    <w:rsid w:val="00664238"/>
    <w:rsid w:val="007179AD"/>
    <w:rsid w:val="00777E5A"/>
    <w:rsid w:val="007974B1"/>
    <w:rsid w:val="00847763"/>
    <w:rsid w:val="00866C4D"/>
    <w:rsid w:val="008B1BFC"/>
    <w:rsid w:val="00924C27"/>
    <w:rsid w:val="00982DCB"/>
    <w:rsid w:val="009B003D"/>
    <w:rsid w:val="00A950E8"/>
    <w:rsid w:val="00B13059"/>
    <w:rsid w:val="00B24C77"/>
    <w:rsid w:val="00BD4251"/>
    <w:rsid w:val="00D139C5"/>
    <w:rsid w:val="00D74C3C"/>
    <w:rsid w:val="00DD2107"/>
    <w:rsid w:val="00DF6EB9"/>
    <w:rsid w:val="00E23FEC"/>
    <w:rsid w:val="00EE0BA4"/>
    <w:rsid w:val="00F33FE0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5ABD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77"/>
    <w:pPr>
      <w:spacing w:after="0" w:line="240" w:lineRule="auto"/>
    </w:pPr>
  </w:style>
  <w:style w:type="table" w:styleId="a4">
    <w:name w:val="Table Grid"/>
    <w:basedOn w:val="a1"/>
    <w:rsid w:val="00B2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15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4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5ABD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77"/>
    <w:pPr>
      <w:spacing w:after="0" w:line="240" w:lineRule="auto"/>
    </w:pPr>
  </w:style>
  <w:style w:type="table" w:styleId="a4">
    <w:name w:val="Table Grid"/>
    <w:basedOn w:val="a1"/>
    <w:rsid w:val="00B2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15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4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ACEE-0F46-4CEB-9557-AF0E73ED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Лариса Генадьевна</dc:creator>
  <cp:keywords/>
  <dc:description/>
  <cp:lastModifiedBy>Побежимова Анна Константиновна</cp:lastModifiedBy>
  <cp:revision>29</cp:revision>
  <cp:lastPrinted>2022-04-01T06:07:00Z</cp:lastPrinted>
  <dcterms:created xsi:type="dcterms:W3CDTF">2018-11-28T08:17:00Z</dcterms:created>
  <dcterms:modified xsi:type="dcterms:W3CDTF">2022-04-01T06:07:00Z</dcterms:modified>
</cp:coreProperties>
</file>