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E8" w:rsidRPr="003471F5" w:rsidRDefault="00714CE8" w:rsidP="00714CE8">
      <w:pPr>
        <w:pStyle w:val="1"/>
        <w:shd w:val="clear" w:color="auto" w:fill="auto"/>
        <w:spacing w:line="240" w:lineRule="auto"/>
        <w:ind w:left="60" w:right="-2" w:firstLine="560"/>
        <w:jc w:val="both"/>
        <w:rPr>
          <w:b/>
        </w:rPr>
      </w:pPr>
      <w:bookmarkStart w:id="0" w:name="_GoBack"/>
      <w:bookmarkEnd w:id="0"/>
      <w:r>
        <w:rPr>
          <w:b/>
        </w:rPr>
        <w:t xml:space="preserve">Туристско-рекреационный отраслевой комплекс </w:t>
      </w:r>
    </w:p>
    <w:p w:rsidR="00714CE8" w:rsidRDefault="00714CE8" w:rsidP="003471F5">
      <w:pPr>
        <w:ind w:firstLine="709"/>
        <w:jc w:val="both"/>
        <w:rPr>
          <w:sz w:val="24"/>
          <w:szCs w:val="24"/>
          <w:lang w:eastAsia="en-US"/>
        </w:rPr>
      </w:pPr>
    </w:p>
    <w:p w:rsidR="0022542F" w:rsidRDefault="0022542F" w:rsidP="003471F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территории Слюдянского района одним из перспективных отраслей для развития и уже начинающим набирать свои обороты является такой отраслевой комплекс, как туристско-рекреационный.</w:t>
      </w:r>
    </w:p>
    <w:p w:rsidR="0022542F" w:rsidRDefault="0022542F" w:rsidP="003471F5">
      <w:pPr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На сегодняшний день, территория Слюдянского района позиционирует себя как территория по развитию двух основных направлений: культурно-познавательного</w:t>
      </w:r>
      <w:r w:rsidR="002D2CFD">
        <w:rPr>
          <w:sz w:val="24"/>
          <w:szCs w:val="24"/>
          <w:lang w:eastAsia="en-US"/>
        </w:rPr>
        <w:t xml:space="preserve"> (в состав которого входит исторический, гастрономический, событийный туризм)</w:t>
      </w:r>
      <w:r>
        <w:rPr>
          <w:sz w:val="24"/>
          <w:szCs w:val="24"/>
          <w:lang w:eastAsia="en-US"/>
        </w:rPr>
        <w:t xml:space="preserve"> и  оздоровительного</w:t>
      </w:r>
      <w:r w:rsidR="005F31FB">
        <w:rPr>
          <w:sz w:val="24"/>
          <w:szCs w:val="24"/>
          <w:lang w:eastAsia="en-US"/>
        </w:rPr>
        <w:t xml:space="preserve"> туризма</w:t>
      </w:r>
      <w:r w:rsidR="002D2CFD">
        <w:rPr>
          <w:sz w:val="24"/>
          <w:szCs w:val="24"/>
          <w:lang w:eastAsia="en-US"/>
        </w:rPr>
        <w:t xml:space="preserve"> (в </w:t>
      </w:r>
      <w:proofErr w:type="spellStart"/>
      <w:r w:rsidR="002D2CFD">
        <w:rPr>
          <w:sz w:val="24"/>
          <w:szCs w:val="24"/>
          <w:lang w:eastAsia="en-US"/>
        </w:rPr>
        <w:t>т.ч</w:t>
      </w:r>
      <w:proofErr w:type="spellEnd"/>
      <w:r w:rsidR="002D2CFD">
        <w:rPr>
          <w:sz w:val="24"/>
          <w:szCs w:val="24"/>
          <w:lang w:eastAsia="en-US"/>
        </w:rPr>
        <w:t>. спортивный, активный, событийный, гастрономический)</w:t>
      </w:r>
      <w:r w:rsidR="005F31FB">
        <w:rPr>
          <w:sz w:val="24"/>
          <w:szCs w:val="24"/>
          <w:lang w:eastAsia="en-US"/>
        </w:rPr>
        <w:t>.</w:t>
      </w:r>
      <w:proofErr w:type="gramEnd"/>
      <w:r w:rsidR="005F31FB">
        <w:rPr>
          <w:sz w:val="24"/>
          <w:szCs w:val="24"/>
          <w:lang w:eastAsia="en-US"/>
        </w:rPr>
        <w:t xml:space="preserve"> Продолжаются мероприятия по формированию под</w:t>
      </w:r>
      <w:r w:rsidR="003F1F43">
        <w:rPr>
          <w:sz w:val="24"/>
          <w:szCs w:val="24"/>
          <w:lang w:eastAsia="en-US"/>
        </w:rPr>
        <w:t>кластера</w:t>
      </w:r>
      <w:r w:rsidR="005F31FB">
        <w:rPr>
          <w:sz w:val="24"/>
          <w:szCs w:val="24"/>
          <w:lang w:eastAsia="en-US"/>
        </w:rPr>
        <w:t xml:space="preserve"> «Южное Прибайкалье» туристско-рекреационного кластера «Байкальское созвездие». </w:t>
      </w:r>
    </w:p>
    <w:p w:rsidR="00922681" w:rsidRDefault="00922681" w:rsidP="003471F5">
      <w:pPr>
        <w:ind w:firstLine="709"/>
        <w:jc w:val="both"/>
        <w:rPr>
          <w:sz w:val="24"/>
          <w:szCs w:val="24"/>
          <w:lang w:eastAsia="en-US"/>
        </w:rPr>
      </w:pPr>
      <w:r w:rsidRPr="00922681">
        <w:rPr>
          <w:sz w:val="24"/>
          <w:szCs w:val="24"/>
          <w:lang w:eastAsia="en-US"/>
        </w:rPr>
        <w:t>Наличие разнообразных ту</w:t>
      </w:r>
      <w:r>
        <w:rPr>
          <w:sz w:val="24"/>
          <w:szCs w:val="24"/>
          <w:lang w:eastAsia="en-US"/>
        </w:rPr>
        <w:t>рист</w:t>
      </w:r>
      <w:r w:rsidRPr="00922681">
        <w:rPr>
          <w:sz w:val="24"/>
          <w:szCs w:val="24"/>
          <w:lang w:eastAsia="en-US"/>
        </w:rPr>
        <w:t xml:space="preserve">ских ресурсов </w:t>
      </w:r>
      <w:r>
        <w:rPr>
          <w:sz w:val="24"/>
          <w:szCs w:val="24"/>
          <w:lang w:eastAsia="en-US"/>
        </w:rPr>
        <w:t xml:space="preserve">и объектов показа </w:t>
      </w:r>
      <w:r w:rsidRPr="00922681">
        <w:rPr>
          <w:sz w:val="24"/>
          <w:szCs w:val="24"/>
          <w:lang w:eastAsia="en-US"/>
        </w:rPr>
        <w:t xml:space="preserve">позволяет разделить территорию на несколько </w:t>
      </w:r>
      <w:r w:rsidR="002D2CFD">
        <w:rPr>
          <w:sz w:val="24"/>
          <w:szCs w:val="24"/>
          <w:lang w:eastAsia="en-US"/>
        </w:rPr>
        <w:t xml:space="preserve">сложившихся и </w:t>
      </w:r>
      <w:r w:rsidRPr="00922681">
        <w:rPr>
          <w:sz w:val="24"/>
          <w:szCs w:val="24"/>
          <w:lang w:eastAsia="en-US"/>
        </w:rPr>
        <w:t>перспективных туристско-рекреационных дестин</w:t>
      </w:r>
      <w:r w:rsidR="00DB6250">
        <w:rPr>
          <w:sz w:val="24"/>
          <w:szCs w:val="24"/>
          <w:lang w:eastAsia="en-US"/>
        </w:rPr>
        <w:t>а</w:t>
      </w:r>
      <w:r w:rsidRPr="00922681">
        <w:rPr>
          <w:sz w:val="24"/>
          <w:szCs w:val="24"/>
          <w:lang w:eastAsia="en-US"/>
        </w:rPr>
        <w:t xml:space="preserve">ций и </w:t>
      </w:r>
      <w:r w:rsidR="002D2CFD">
        <w:rPr>
          <w:sz w:val="24"/>
          <w:szCs w:val="24"/>
          <w:lang w:eastAsia="en-US"/>
        </w:rPr>
        <w:t xml:space="preserve">возможных </w:t>
      </w:r>
      <w:r w:rsidRPr="00922681">
        <w:rPr>
          <w:sz w:val="24"/>
          <w:szCs w:val="24"/>
          <w:lang w:eastAsia="en-US"/>
        </w:rPr>
        <w:t>специализаци</w:t>
      </w:r>
      <w:r w:rsidR="002D2CFD">
        <w:rPr>
          <w:sz w:val="24"/>
          <w:szCs w:val="24"/>
          <w:lang w:eastAsia="en-US"/>
        </w:rPr>
        <w:t>й</w:t>
      </w:r>
      <w:r w:rsidRPr="00922681">
        <w:rPr>
          <w:sz w:val="24"/>
          <w:szCs w:val="24"/>
          <w:lang w:eastAsia="en-US"/>
        </w:rPr>
        <w:t xml:space="preserve"> предпринимательской деятельности, ориентированной на туристический поток, в зависимости от территориального расположения</w:t>
      </w:r>
      <w:r w:rsidR="002D2CFD">
        <w:rPr>
          <w:sz w:val="24"/>
          <w:szCs w:val="24"/>
          <w:lang w:eastAsia="en-US"/>
        </w:rPr>
        <w:t xml:space="preserve"> и дальнейшего их развития</w:t>
      </w:r>
      <w:r w:rsidRPr="00922681">
        <w:rPr>
          <w:sz w:val="24"/>
          <w:szCs w:val="24"/>
          <w:lang w:eastAsia="en-US"/>
        </w:rPr>
        <w:t>:</w:t>
      </w:r>
    </w:p>
    <w:p w:rsidR="00922681" w:rsidRDefault="00922681" w:rsidP="003471F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Сложившиеся дестинации:</w:t>
      </w:r>
    </w:p>
    <w:p w:rsidR="00922681" w:rsidRDefault="00922681" w:rsidP="003471F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2D2CFD">
        <w:rPr>
          <w:sz w:val="24"/>
          <w:szCs w:val="24"/>
          <w:lang w:eastAsia="en-US"/>
        </w:rPr>
        <w:t>Туристско</w:t>
      </w:r>
      <w:r w:rsidR="00DB6250">
        <w:rPr>
          <w:sz w:val="24"/>
          <w:szCs w:val="24"/>
          <w:lang w:eastAsia="en-US"/>
        </w:rPr>
        <w:t xml:space="preserve">-рекреационный комплекс </w:t>
      </w:r>
      <w:r>
        <w:rPr>
          <w:sz w:val="24"/>
          <w:szCs w:val="24"/>
          <w:lang w:eastAsia="en-US"/>
        </w:rPr>
        <w:t>Байкальский горнолыжный курорт «Гора Соболиная»</w:t>
      </w:r>
      <w:r w:rsidR="00DB6250">
        <w:rPr>
          <w:sz w:val="24"/>
          <w:szCs w:val="24"/>
          <w:lang w:eastAsia="en-US"/>
        </w:rPr>
        <w:t xml:space="preserve"> (г. Байкальск, п. Утулик)- развитие </w:t>
      </w:r>
      <w:r w:rsidR="00DB6250" w:rsidRPr="00DB6250">
        <w:rPr>
          <w:sz w:val="24"/>
          <w:szCs w:val="24"/>
          <w:lang w:eastAsia="en-US"/>
        </w:rPr>
        <w:t>предпринимательск</w:t>
      </w:r>
      <w:r w:rsidR="00DB6250">
        <w:rPr>
          <w:sz w:val="24"/>
          <w:szCs w:val="24"/>
          <w:lang w:eastAsia="en-US"/>
        </w:rPr>
        <w:t>ой</w:t>
      </w:r>
      <w:r w:rsidR="00DB6250" w:rsidRPr="00DB6250">
        <w:rPr>
          <w:sz w:val="24"/>
          <w:szCs w:val="24"/>
          <w:lang w:eastAsia="en-US"/>
        </w:rPr>
        <w:t xml:space="preserve"> деятельност</w:t>
      </w:r>
      <w:r w:rsidR="00DB6250">
        <w:rPr>
          <w:sz w:val="24"/>
          <w:szCs w:val="24"/>
          <w:lang w:eastAsia="en-US"/>
        </w:rPr>
        <w:t>и</w:t>
      </w:r>
      <w:r w:rsidR="00DB6250" w:rsidRPr="00DB6250">
        <w:rPr>
          <w:sz w:val="24"/>
          <w:szCs w:val="24"/>
          <w:lang w:eastAsia="en-US"/>
        </w:rPr>
        <w:t xml:space="preserve"> в сфере  </w:t>
      </w:r>
      <w:r w:rsidR="00DB6250">
        <w:rPr>
          <w:sz w:val="24"/>
          <w:szCs w:val="24"/>
          <w:lang w:eastAsia="en-US"/>
        </w:rPr>
        <w:t>гостиничного бизнеса и</w:t>
      </w:r>
      <w:r w:rsidR="00DB6250" w:rsidRPr="00DB6250">
        <w:rPr>
          <w:sz w:val="24"/>
          <w:szCs w:val="24"/>
          <w:lang w:eastAsia="en-US"/>
        </w:rPr>
        <w:t xml:space="preserve"> общественного питания</w:t>
      </w:r>
      <w:r w:rsidR="00DB6250">
        <w:rPr>
          <w:sz w:val="24"/>
          <w:szCs w:val="24"/>
          <w:lang w:eastAsia="en-US"/>
        </w:rPr>
        <w:t>,</w:t>
      </w:r>
      <w:r w:rsidR="005C7703">
        <w:rPr>
          <w:sz w:val="24"/>
          <w:szCs w:val="24"/>
          <w:lang w:eastAsia="en-US"/>
        </w:rPr>
        <w:t xml:space="preserve"> в области  спорта, отдых</w:t>
      </w:r>
      <w:r w:rsidR="003F1F43">
        <w:rPr>
          <w:sz w:val="24"/>
          <w:szCs w:val="24"/>
          <w:lang w:eastAsia="en-US"/>
        </w:rPr>
        <w:t>а</w:t>
      </w:r>
      <w:r w:rsidR="005C7703">
        <w:rPr>
          <w:sz w:val="24"/>
          <w:szCs w:val="24"/>
          <w:lang w:eastAsia="en-US"/>
        </w:rPr>
        <w:t xml:space="preserve"> и развлечений,</w:t>
      </w:r>
      <w:r w:rsidR="00DB6250">
        <w:rPr>
          <w:sz w:val="24"/>
          <w:szCs w:val="24"/>
          <w:lang w:eastAsia="en-US"/>
        </w:rPr>
        <w:t xml:space="preserve"> проката горнолыжного оборудования, </w:t>
      </w:r>
      <w:r w:rsidR="005C7703">
        <w:rPr>
          <w:sz w:val="24"/>
          <w:szCs w:val="24"/>
          <w:lang w:eastAsia="en-US"/>
        </w:rPr>
        <w:t>производства сувенирной продукции, торговли</w:t>
      </w:r>
      <w:r>
        <w:rPr>
          <w:sz w:val="24"/>
          <w:szCs w:val="24"/>
          <w:lang w:eastAsia="en-US"/>
        </w:rPr>
        <w:t>;</w:t>
      </w:r>
    </w:p>
    <w:p w:rsidR="00922681" w:rsidRDefault="00922681" w:rsidP="003471F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="004037F4">
        <w:rPr>
          <w:sz w:val="24"/>
          <w:szCs w:val="24"/>
          <w:lang w:eastAsia="en-US"/>
        </w:rPr>
        <w:t xml:space="preserve"> Туристско-рекреационный комплекс</w:t>
      </w:r>
      <w:r>
        <w:rPr>
          <w:sz w:val="24"/>
          <w:szCs w:val="24"/>
          <w:lang w:eastAsia="en-US"/>
        </w:rPr>
        <w:t xml:space="preserve"> «</w:t>
      </w:r>
      <w:proofErr w:type="spellStart"/>
      <w:r>
        <w:rPr>
          <w:sz w:val="24"/>
          <w:szCs w:val="24"/>
          <w:lang w:eastAsia="en-US"/>
        </w:rPr>
        <w:t>Кругобайкальская</w:t>
      </w:r>
      <w:proofErr w:type="spellEnd"/>
      <w:r>
        <w:rPr>
          <w:sz w:val="24"/>
          <w:szCs w:val="24"/>
          <w:lang w:eastAsia="en-US"/>
        </w:rPr>
        <w:t xml:space="preserve"> железная дорога»</w:t>
      </w:r>
      <w:r w:rsidR="005C7703">
        <w:rPr>
          <w:sz w:val="24"/>
          <w:szCs w:val="24"/>
          <w:lang w:eastAsia="en-US"/>
        </w:rPr>
        <w:t xml:space="preserve"> (</w:t>
      </w:r>
      <w:proofErr w:type="spellStart"/>
      <w:r w:rsidR="005C7703">
        <w:rPr>
          <w:sz w:val="24"/>
          <w:szCs w:val="24"/>
          <w:lang w:eastAsia="en-US"/>
        </w:rPr>
        <w:t>Култукское</w:t>
      </w:r>
      <w:proofErr w:type="spellEnd"/>
      <w:r w:rsidR="005C7703">
        <w:rPr>
          <w:sz w:val="24"/>
          <w:szCs w:val="24"/>
          <w:lang w:eastAsia="en-US"/>
        </w:rPr>
        <w:t xml:space="preserve">, </w:t>
      </w:r>
      <w:proofErr w:type="spellStart"/>
      <w:r w:rsidR="005C7703">
        <w:rPr>
          <w:sz w:val="24"/>
          <w:szCs w:val="24"/>
          <w:lang w:eastAsia="en-US"/>
        </w:rPr>
        <w:t>Маритуское</w:t>
      </w:r>
      <w:proofErr w:type="spellEnd"/>
      <w:r w:rsidR="005C7703">
        <w:rPr>
          <w:sz w:val="24"/>
          <w:szCs w:val="24"/>
          <w:lang w:eastAsia="en-US"/>
        </w:rPr>
        <w:t xml:space="preserve">, </w:t>
      </w:r>
      <w:proofErr w:type="spellStart"/>
      <w:r w:rsidR="005C7703">
        <w:rPr>
          <w:sz w:val="24"/>
          <w:szCs w:val="24"/>
          <w:lang w:eastAsia="en-US"/>
        </w:rPr>
        <w:t>Портбайкальское</w:t>
      </w:r>
      <w:proofErr w:type="spellEnd"/>
      <w:r w:rsidR="005C7703">
        <w:rPr>
          <w:sz w:val="24"/>
          <w:szCs w:val="24"/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</w:t>
      </w:r>
      <w:r>
        <w:rPr>
          <w:sz w:val="24"/>
          <w:szCs w:val="24"/>
          <w:lang w:eastAsia="en-US"/>
        </w:rPr>
        <w:t>.</w:t>
      </w:r>
    </w:p>
    <w:p w:rsidR="00922681" w:rsidRDefault="00922681" w:rsidP="003471F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Перспективные дестинации:</w:t>
      </w:r>
    </w:p>
    <w:p w:rsidR="005C7703" w:rsidRDefault="00922681" w:rsidP="005C770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proofErr w:type="gramStart"/>
      <w:r>
        <w:rPr>
          <w:sz w:val="24"/>
          <w:szCs w:val="24"/>
          <w:lang w:eastAsia="en-US"/>
        </w:rPr>
        <w:t xml:space="preserve">Великая Чайная тропа «В горной стране Хамар-Дабан»  с 4-мя точками входа на тропу (г. Слюдянка,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Култук, п. Утулик, п. </w:t>
      </w:r>
      <w:proofErr w:type="spellStart"/>
      <w:r>
        <w:rPr>
          <w:sz w:val="24"/>
          <w:szCs w:val="24"/>
          <w:lang w:eastAsia="en-US"/>
        </w:rPr>
        <w:t>Мурино</w:t>
      </w:r>
      <w:proofErr w:type="spellEnd"/>
      <w:r>
        <w:rPr>
          <w:sz w:val="24"/>
          <w:szCs w:val="24"/>
          <w:lang w:eastAsia="en-US"/>
        </w:rPr>
        <w:t>)</w:t>
      </w:r>
      <w:r w:rsidR="005C7703">
        <w:rPr>
          <w:sz w:val="24"/>
          <w:szCs w:val="24"/>
          <w:lang w:eastAsia="en-US"/>
        </w:rPr>
        <w:t xml:space="preserve">- развитие </w:t>
      </w:r>
      <w:r w:rsidR="005C7703" w:rsidRPr="00DB6250">
        <w:rPr>
          <w:sz w:val="24"/>
          <w:szCs w:val="24"/>
          <w:lang w:eastAsia="en-US"/>
        </w:rPr>
        <w:t>общественного питания</w:t>
      </w:r>
      <w:r w:rsidR="005C7703">
        <w:rPr>
          <w:sz w:val="24"/>
          <w:szCs w:val="24"/>
          <w:lang w:eastAsia="en-US"/>
        </w:rPr>
        <w:t>, деятельности в области  спорта, отдых</w:t>
      </w:r>
      <w:r w:rsidR="003F1F43">
        <w:rPr>
          <w:sz w:val="24"/>
          <w:szCs w:val="24"/>
          <w:lang w:eastAsia="en-US"/>
        </w:rPr>
        <w:t>а</w:t>
      </w:r>
      <w:r w:rsidR="005C7703">
        <w:rPr>
          <w:sz w:val="24"/>
          <w:szCs w:val="24"/>
          <w:lang w:eastAsia="en-US"/>
        </w:rPr>
        <w:t xml:space="preserve"> и развлечений,</w:t>
      </w:r>
      <w:r w:rsidR="005C7703" w:rsidRPr="005C7703">
        <w:rPr>
          <w:sz w:val="24"/>
          <w:szCs w:val="24"/>
          <w:lang w:eastAsia="en-US"/>
        </w:rPr>
        <w:t xml:space="preserve"> </w:t>
      </w:r>
      <w:r w:rsidR="005C7703">
        <w:rPr>
          <w:sz w:val="24"/>
          <w:szCs w:val="24"/>
          <w:lang w:eastAsia="en-US"/>
        </w:rPr>
        <w:t>производства сувенирной продукции, торговли;</w:t>
      </w:r>
      <w:proofErr w:type="gramEnd"/>
    </w:p>
    <w:p w:rsidR="005C7703" w:rsidRDefault="00922681" w:rsidP="005C770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Резиденция Байкальского Деда Мороза</w:t>
      </w:r>
      <w:r w:rsidR="005C7703" w:rsidRPr="005C7703">
        <w:rPr>
          <w:sz w:val="24"/>
          <w:szCs w:val="24"/>
          <w:lang w:eastAsia="en-US"/>
        </w:rPr>
        <w:t xml:space="preserve"> </w:t>
      </w:r>
      <w:r w:rsidR="005C7703">
        <w:rPr>
          <w:sz w:val="24"/>
          <w:szCs w:val="24"/>
          <w:lang w:eastAsia="en-US"/>
        </w:rPr>
        <w:t xml:space="preserve">(г. Слюдянка) - развитие гостиничного бизнеса, </w:t>
      </w:r>
      <w:r w:rsidR="005C7703" w:rsidRPr="00DB6250">
        <w:rPr>
          <w:sz w:val="24"/>
          <w:szCs w:val="24"/>
          <w:lang w:eastAsia="en-US"/>
        </w:rPr>
        <w:t>общественного питания</w:t>
      </w:r>
      <w:r w:rsidR="005C7703">
        <w:rPr>
          <w:sz w:val="24"/>
          <w:szCs w:val="24"/>
          <w:lang w:eastAsia="en-US"/>
        </w:rPr>
        <w:t>, деятельности в области  спорта, отдых</w:t>
      </w:r>
      <w:r w:rsidR="003F1F43">
        <w:rPr>
          <w:sz w:val="24"/>
          <w:szCs w:val="24"/>
          <w:lang w:eastAsia="en-US"/>
        </w:rPr>
        <w:t>а</w:t>
      </w:r>
      <w:r w:rsidR="005C7703">
        <w:rPr>
          <w:sz w:val="24"/>
          <w:szCs w:val="24"/>
          <w:lang w:eastAsia="en-US"/>
        </w:rPr>
        <w:t xml:space="preserve"> и развлечений,</w:t>
      </w:r>
      <w:r w:rsidR="005C7703" w:rsidRPr="005C7703">
        <w:rPr>
          <w:sz w:val="24"/>
          <w:szCs w:val="24"/>
          <w:lang w:eastAsia="en-US"/>
        </w:rPr>
        <w:t xml:space="preserve"> </w:t>
      </w:r>
      <w:r w:rsidR="005C7703">
        <w:rPr>
          <w:sz w:val="24"/>
          <w:szCs w:val="24"/>
          <w:lang w:eastAsia="en-US"/>
        </w:rPr>
        <w:t>производства сувенирной продукции, торговли</w:t>
      </w:r>
      <w:r w:rsidR="00A024C7">
        <w:rPr>
          <w:sz w:val="24"/>
          <w:szCs w:val="24"/>
          <w:lang w:eastAsia="en-US"/>
        </w:rPr>
        <w:t>, транспорта</w:t>
      </w:r>
      <w:r w:rsidR="005C7703">
        <w:rPr>
          <w:sz w:val="24"/>
          <w:szCs w:val="24"/>
          <w:lang w:eastAsia="en-US"/>
        </w:rPr>
        <w:t>;</w:t>
      </w:r>
    </w:p>
    <w:p w:rsidR="004037F4" w:rsidRDefault="000B26A9" w:rsidP="00701C0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proofErr w:type="gramStart"/>
      <w:r w:rsidR="00701C03">
        <w:rPr>
          <w:sz w:val="24"/>
          <w:szCs w:val="24"/>
          <w:lang w:eastAsia="en-US"/>
        </w:rPr>
        <w:t>«Байкал-</w:t>
      </w:r>
      <w:proofErr w:type="spellStart"/>
      <w:r w:rsidR="00701C03">
        <w:rPr>
          <w:sz w:val="24"/>
          <w:szCs w:val="24"/>
          <w:lang w:eastAsia="en-US"/>
        </w:rPr>
        <w:t>Хубсугул</w:t>
      </w:r>
      <w:proofErr w:type="spellEnd"/>
      <w:r w:rsidR="00701C03">
        <w:rPr>
          <w:sz w:val="24"/>
          <w:szCs w:val="24"/>
          <w:lang w:eastAsia="en-US"/>
        </w:rPr>
        <w:t>»</w:t>
      </w:r>
      <w:r w:rsidR="004037F4">
        <w:rPr>
          <w:sz w:val="24"/>
          <w:szCs w:val="24"/>
          <w:lang w:eastAsia="en-US"/>
        </w:rPr>
        <w:t xml:space="preserve"> </w:t>
      </w:r>
      <w:r w:rsidR="00A024C7">
        <w:rPr>
          <w:sz w:val="24"/>
          <w:szCs w:val="24"/>
          <w:lang w:eastAsia="en-US"/>
        </w:rPr>
        <w:t xml:space="preserve">(г.Слюдянка, </w:t>
      </w:r>
      <w:proofErr w:type="spellStart"/>
      <w:r w:rsidR="00A024C7">
        <w:rPr>
          <w:sz w:val="24"/>
          <w:szCs w:val="24"/>
          <w:lang w:eastAsia="en-US"/>
        </w:rPr>
        <w:t>р.п</w:t>
      </w:r>
      <w:proofErr w:type="spellEnd"/>
      <w:r w:rsidR="00A024C7">
        <w:rPr>
          <w:sz w:val="24"/>
          <w:szCs w:val="24"/>
          <w:lang w:eastAsia="en-US"/>
        </w:rPr>
        <w:t>.</w:t>
      </w:r>
      <w:proofErr w:type="gramEnd"/>
      <w:r w:rsidR="00A024C7">
        <w:rPr>
          <w:sz w:val="24"/>
          <w:szCs w:val="24"/>
          <w:lang w:eastAsia="en-US"/>
        </w:rPr>
        <w:t xml:space="preserve"> Култук, </w:t>
      </w:r>
      <w:proofErr w:type="spellStart"/>
      <w:r w:rsidR="00A024C7">
        <w:rPr>
          <w:sz w:val="24"/>
          <w:szCs w:val="24"/>
          <w:lang w:eastAsia="en-US"/>
        </w:rPr>
        <w:t>Быстринское</w:t>
      </w:r>
      <w:proofErr w:type="spellEnd"/>
      <w:r w:rsidR="00A024C7">
        <w:rPr>
          <w:sz w:val="24"/>
          <w:szCs w:val="24"/>
          <w:lang w:eastAsia="en-US"/>
        </w:rPr>
        <w:t xml:space="preserve"> МО</w:t>
      </w:r>
      <w:r w:rsidR="002D2CFD">
        <w:rPr>
          <w:sz w:val="24"/>
          <w:szCs w:val="24"/>
          <w:lang w:eastAsia="en-US"/>
        </w:rPr>
        <w:t xml:space="preserve"> и далее по сопряженным территориям </w:t>
      </w:r>
      <w:proofErr w:type="gramStart"/>
      <w:r w:rsidR="002D2CFD">
        <w:rPr>
          <w:sz w:val="24"/>
          <w:szCs w:val="24"/>
          <w:lang w:eastAsia="en-US"/>
        </w:rPr>
        <w:t>–</w:t>
      </w:r>
      <w:proofErr w:type="spellStart"/>
      <w:r w:rsidR="002D2CFD">
        <w:rPr>
          <w:sz w:val="24"/>
          <w:szCs w:val="24"/>
          <w:lang w:eastAsia="en-US"/>
        </w:rPr>
        <w:t>Т</w:t>
      </w:r>
      <w:proofErr w:type="gramEnd"/>
      <w:r w:rsidR="002D2CFD">
        <w:rPr>
          <w:sz w:val="24"/>
          <w:szCs w:val="24"/>
          <w:lang w:eastAsia="en-US"/>
        </w:rPr>
        <w:t>ункинская</w:t>
      </w:r>
      <w:proofErr w:type="spellEnd"/>
      <w:r w:rsidR="002D2CFD">
        <w:rPr>
          <w:sz w:val="24"/>
          <w:szCs w:val="24"/>
          <w:lang w:eastAsia="en-US"/>
        </w:rPr>
        <w:t xml:space="preserve"> долина, Монголия</w:t>
      </w:r>
      <w:r w:rsidR="00A024C7">
        <w:rPr>
          <w:sz w:val="24"/>
          <w:szCs w:val="24"/>
          <w:lang w:eastAsia="en-US"/>
        </w:rPr>
        <w:t xml:space="preserve">) развитие гостиничного бизнеса, </w:t>
      </w:r>
      <w:r w:rsidR="00A024C7" w:rsidRPr="00DB6250">
        <w:rPr>
          <w:sz w:val="24"/>
          <w:szCs w:val="24"/>
          <w:lang w:eastAsia="en-US"/>
        </w:rPr>
        <w:t>общественного питания</w:t>
      </w:r>
      <w:r w:rsidR="00A024C7">
        <w:rPr>
          <w:sz w:val="24"/>
          <w:szCs w:val="24"/>
          <w:lang w:eastAsia="en-US"/>
        </w:rPr>
        <w:t>, деятельности в области  спорта, отдых и развлечений,</w:t>
      </w:r>
      <w:r w:rsidR="00A024C7" w:rsidRPr="005C7703">
        <w:rPr>
          <w:sz w:val="24"/>
          <w:szCs w:val="24"/>
          <w:lang w:eastAsia="en-US"/>
        </w:rPr>
        <w:t xml:space="preserve"> </w:t>
      </w:r>
      <w:r w:rsidR="00A024C7">
        <w:rPr>
          <w:sz w:val="24"/>
          <w:szCs w:val="24"/>
          <w:lang w:eastAsia="en-US"/>
        </w:rPr>
        <w:t>деятельность объектов культуры, производства сувенирной продукции, транспорта.</w:t>
      </w:r>
    </w:p>
    <w:p w:rsidR="003471F5" w:rsidRDefault="003471F5" w:rsidP="003471F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Анализ сферы туризма за 2016 год характеризуется следующими итогами.</w:t>
      </w:r>
    </w:p>
    <w:p w:rsidR="003471F5" w:rsidRPr="003471F5" w:rsidRDefault="003471F5" w:rsidP="003471F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территории района </w:t>
      </w:r>
      <w:r w:rsidRPr="003471F5">
        <w:rPr>
          <w:sz w:val="24"/>
          <w:szCs w:val="24"/>
          <w:lang w:eastAsia="en-US"/>
        </w:rPr>
        <w:t>действов</w:t>
      </w:r>
      <w:r w:rsidR="00790465">
        <w:rPr>
          <w:sz w:val="24"/>
          <w:szCs w:val="24"/>
          <w:lang w:eastAsia="en-US"/>
        </w:rPr>
        <w:t>али 43</w:t>
      </w:r>
      <w:r w:rsidRPr="003471F5">
        <w:rPr>
          <w:sz w:val="24"/>
          <w:szCs w:val="24"/>
          <w:lang w:eastAsia="en-US"/>
        </w:rPr>
        <w:t xml:space="preserve"> коллективных средств размещения, единовременная вм</w:t>
      </w:r>
      <w:r w:rsidR="00790465">
        <w:rPr>
          <w:sz w:val="24"/>
          <w:szCs w:val="24"/>
          <w:lang w:eastAsia="en-US"/>
        </w:rPr>
        <w:t xml:space="preserve">естимость </w:t>
      </w:r>
      <w:r w:rsidR="00344D8F">
        <w:rPr>
          <w:sz w:val="24"/>
          <w:szCs w:val="24"/>
          <w:lang w:eastAsia="en-US"/>
        </w:rPr>
        <w:t>которых составляет 3259</w:t>
      </w:r>
      <w:r w:rsidRPr="003471F5">
        <w:rPr>
          <w:sz w:val="24"/>
          <w:szCs w:val="24"/>
          <w:lang w:eastAsia="en-US"/>
        </w:rPr>
        <w:t xml:space="preserve"> человек.</w:t>
      </w:r>
    </w:p>
    <w:p w:rsidR="003471F5" w:rsidRPr="003471F5" w:rsidRDefault="003471F5" w:rsidP="003471F5">
      <w:pPr>
        <w:jc w:val="both"/>
        <w:rPr>
          <w:sz w:val="24"/>
          <w:szCs w:val="24"/>
          <w:lang w:eastAsia="en-US"/>
        </w:rPr>
      </w:pPr>
      <w:r w:rsidRPr="003471F5">
        <w:rPr>
          <w:sz w:val="24"/>
          <w:szCs w:val="24"/>
          <w:lang w:eastAsia="en-US"/>
        </w:rPr>
        <w:t>Из них:</w:t>
      </w:r>
    </w:p>
    <w:p w:rsidR="003471F5" w:rsidRPr="003471F5" w:rsidRDefault="00E06514" w:rsidP="003471F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Гостиниц/отелей – 15</w:t>
      </w:r>
      <w:r w:rsidR="00790465">
        <w:rPr>
          <w:sz w:val="24"/>
          <w:szCs w:val="24"/>
          <w:lang w:eastAsia="en-US"/>
        </w:rPr>
        <w:t xml:space="preserve"> ед. </w:t>
      </w:r>
    </w:p>
    <w:p w:rsidR="003471F5" w:rsidRPr="003471F5" w:rsidRDefault="003471F5" w:rsidP="003471F5">
      <w:pPr>
        <w:jc w:val="both"/>
        <w:rPr>
          <w:sz w:val="24"/>
          <w:szCs w:val="24"/>
          <w:lang w:eastAsia="en-US"/>
        </w:rPr>
      </w:pPr>
      <w:r w:rsidRPr="003471F5">
        <w:rPr>
          <w:sz w:val="24"/>
          <w:szCs w:val="24"/>
          <w:lang w:eastAsia="en-US"/>
        </w:rPr>
        <w:t>Турбаз, баз отдыха, домов отдыха,</w:t>
      </w:r>
      <w:r w:rsidR="00790465">
        <w:rPr>
          <w:sz w:val="24"/>
          <w:szCs w:val="24"/>
          <w:lang w:eastAsia="en-US"/>
        </w:rPr>
        <w:t xml:space="preserve"> гостевых домов и коттеджей – 25</w:t>
      </w:r>
      <w:r w:rsidR="00E06514">
        <w:rPr>
          <w:sz w:val="24"/>
          <w:szCs w:val="24"/>
          <w:lang w:eastAsia="en-US"/>
        </w:rPr>
        <w:t xml:space="preserve"> ед. </w:t>
      </w:r>
    </w:p>
    <w:p w:rsidR="003471F5" w:rsidRPr="003471F5" w:rsidRDefault="003471F5" w:rsidP="003471F5">
      <w:pPr>
        <w:jc w:val="both"/>
        <w:rPr>
          <w:sz w:val="24"/>
          <w:szCs w:val="24"/>
          <w:lang w:eastAsia="en-US"/>
        </w:rPr>
      </w:pPr>
      <w:r w:rsidRPr="003471F5">
        <w:rPr>
          <w:sz w:val="24"/>
          <w:szCs w:val="24"/>
          <w:lang w:eastAsia="en-US"/>
        </w:rPr>
        <w:t xml:space="preserve">Меблированных комнат – 1 ед. </w:t>
      </w:r>
    </w:p>
    <w:p w:rsidR="003471F5" w:rsidRPr="003471F5" w:rsidRDefault="00790465" w:rsidP="003471F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Санаториев – 1 ед. </w:t>
      </w:r>
    </w:p>
    <w:p w:rsidR="003471F5" w:rsidRPr="003471F5" w:rsidRDefault="003471F5" w:rsidP="003471F5">
      <w:pPr>
        <w:jc w:val="both"/>
        <w:rPr>
          <w:sz w:val="24"/>
          <w:szCs w:val="24"/>
          <w:lang w:eastAsia="en-US"/>
        </w:rPr>
      </w:pPr>
      <w:r w:rsidRPr="003471F5">
        <w:rPr>
          <w:sz w:val="24"/>
          <w:szCs w:val="24"/>
          <w:lang w:eastAsia="en-US"/>
        </w:rPr>
        <w:t>Тури</w:t>
      </w:r>
      <w:r w:rsidR="00790465">
        <w:rPr>
          <w:sz w:val="24"/>
          <w:szCs w:val="24"/>
          <w:lang w:eastAsia="en-US"/>
        </w:rPr>
        <w:t xml:space="preserve">стических комплексов – 1 ед. </w:t>
      </w:r>
    </w:p>
    <w:p w:rsidR="00026457" w:rsidRDefault="00AE6208" w:rsidP="00026457">
      <w:pPr>
        <w:ind w:firstLine="567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А</w:t>
      </w:r>
      <w:r w:rsidR="00E06514">
        <w:rPr>
          <w:sz w:val="24"/>
          <w:szCs w:val="24"/>
          <w:lang w:eastAsia="en-US"/>
        </w:rPr>
        <w:t>нализ туристского потока</w:t>
      </w:r>
      <w:r>
        <w:rPr>
          <w:sz w:val="24"/>
          <w:szCs w:val="24"/>
          <w:lang w:eastAsia="en-US"/>
        </w:rPr>
        <w:t xml:space="preserve"> по экспертным данным</w:t>
      </w:r>
      <w:r w:rsidR="003471F5" w:rsidRPr="003471F5">
        <w:rPr>
          <w:sz w:val="24"/>
          <w:szCs w:val="24"/>
          <w:lang w:eastAsia="en-US"/>
        </w:rPr>
        <w:t xml:space="preserve"> показ</w:t>
      </w:r>
      <w:r>
        <w:rPr>
          <w:sz w:val="24"/>
          <w:szCs w:val="24"/>
          <w:lang w:eastAsia="en-US"/>
        </w:rPr>
        <w:t>а</w:t>
      </w:r>
      <w:r w:rsidR="00915BAC">
        <w:rPr>
          <w:sz w:val="24"/>
          <w:szCs w:val="24"/>
          <w:lang w:eastAsia="en-US"/>
        </w:rPr>
        <w:t>л</w:t>
      </w:r>
      <w:r w:rsidR="003471F5" w:rsidRPr="003471F5">
        <w:rPr>
          <w:sz w:val="24"/>
          <w:szCs w:val="24"/>
          <w:lang w:eastAsia="en-US"/>
        </w:rPr>
        <w:t>, что поток туристов, посет</w:t>
      </w:r>
      <w:r w:rsidR="00F20ED9">
        <w:rPr>
          <w:sz w:val="24"/>
          <w:szCs w:val="24"/>
          <w:lang w:eastAsia="en-US"/>
        </w:rPr>
        <w:t>ивших Слюдянский район, состави</w:t>
      </w:r>
      <w:r w:rsidR="00915BAC">
        <w:rPr>
          <w:sz w:val="24"/>
          <w:szCs w:val="24"/>
          <w:lang w:eastAsia="en-US"/>
        </w:rPr>
        <w:t>л</w:t>
      </w:r>
      <w:r w:rsidR="003471F5" w:rsidRPr="003471F5">
        <w:rPr>
          <w:sz w:val="24"/>
          <w:szCs w:val="24"/>
          <w:lang w:eastAsia="en-US"/>
        </w:rPr>
        <w:t xml:space="preserve"> </w:t>
      </w:r>
      <w:r w:rsidR="00E06514" w:rsidRPr="00430308">
        <w:rPr>
          <w:sz w:val="24"/>
          <w:szCs w:val="24"/>
          <w:u w:val="single"/>
          <w:lang w:eastAsia="en-US"/>
        </w:rPr>
        <w:t>2</w:t>
      </w:r>
      <w:r w:rsidR="00F73EE9">
        <w:rPr>
          <w:sz w:val="24"/>
          <w:szCs w:val="24"/>
          <w:u w:val="single"/>
          <w:lang w:eastAsia="en-US"/>
        </w:rPr>
        <w:t>49</w:t>
      </w:r>
      <w:r w:rsidR="00E06514" w:rsidRPr="00430308">
        <w:rPr>
          <w:sz w:val="24"/>
          <w:szCs w:val="24"/>
          <w:u w:val="single"/>
          <w:lang w:eastAsia="en-US"/>
        </w:rPr>
        <w:t xml:space="preserve"> </w:t>
      </w:r>
      <w:r w:rsidR="00F73EE9">
        <w:rPr>
          <w:sz w:val="24"/>
          <w:szCs w:val="24"/>
          <w:u w:val="single"/>
          <w:lang w:eastAsia="en-US"/>
        </w:rPr>
        <w:t>5</w:t>
      </w:r>
      <w:r w:rsidR="004B45CB">
        <w:rPr>
          <w:sz w:val="24"/>
          <w:szCs w:val="24"/>
          <w:u w:val="single"/>
          <w:lang w:eastAsia="en-US"/>
        </w:rPr>
        <w:t>9</w:t>
      </w:r>
      <w:r w:rsidR="00F73EE9">
        <w:rPr>
          <w:sz w:val="24"/>
          <w:szCs w:val="24"/>
          <w:u w:val="single"/>
          <w:lang w:eastAsia="en-US"/>
        </w:rPr>
        <w:t>7</w:t>
      </w:r>
      <w:r w:rsidR="00E06514" w:rsidRPr="00430308">
        <w:rPr>
          <w:sz w:val="24"/>
          <w:szCs w:val="24"/>
          <w:u w:val="single"/>
          <w:lang w:eastAsia="en-US"/>
        </w:rPr>
        <w:t xml:space="preserve"> </w:t>
      </w:r>
      <w:r w:rsidR="003471F5" w:rsidRPr="00430308">
        <w:rPr>
          <w:sz w:val="24"/>
          <w:szCs w:val="24"/>
          <w:u w:val="single"/>
          <w:lang w:eastAsia="en-US"/>
        </w:rPr>
        <w:t>человек</w:t>
      </w:r>
      <w:r w:rsidR="00E06514">
        <w:rPr>
          <w:sz w:val="24"/>
          <w:szCs w:val="24"/>
          <w:lang w:eastAsia="en-US"/>
        </w:rPr>
        <w:t xml:space="preserve"> в 2016 году</w:t>
      </w:r>
      <w:r w:rsidR="003471F5" w:rsidRPr="003471F5">
        <w:rPr>
          <w:sz w:val="24"/>
          <w:szCs w:val="24"/>
          <w:lang w:eastAsia="en-US"/>
        </w:rPr>
        <w:t xml:space="preserve"> к </w:t>
      </w:r>
      <w:r w:rsidR="00F73EE9">
        <w:rPr>
          <w:sz w:val="24"/>
          <w:szCs w:val="24"/>
          <w:lang w:eastAsia="en-US"/>
        </w:rPr>
        <w:t>217</w:t>
      </w:r>
      <w:r w:rsidR="00E06514">
        <w:rPr>
          <w:sz w:val="24"/>
          <w:szCs w:val="24"/>
          <w:lang w:eastAsia="en-US"/>
        </w:rPr>
        <w:t xml:space="preserve"> </w:t>
      </w:r>
      <w:r w:rsidR="00F73EE9">
        <w:rPr>
          <w:sz w:val="24"/>
          <w:szCs w:val="24"/>
          <w:lang w:eastAsia="en-US"/>
        </w:rPr>
        <w:t>942</w:t>
      </w:r>
      <w:r w:rsidR="003471F5" w:rsidRPr="003471F5">
        <w:rPr>
          <w:sz w:val="24"/>
          <w:szCs w:val="24"/>
          <w:lang w:eastAsia="en-US"/>
        </w:rPr>
        <w:t xml:space="preserve"> человек 201</w:t>
      </w:r>
      <w:r w:rsidR="00E06514">
        <w:rPr>
          <w:sz w:val="24"/>
          <w:szCs w:val="24"/>
          <w:lang w:eastAsia="en-US"/>
        </w:rPr>
        <w:t xml:space="preserve">5 года, </w:t>
      </w:r>
      <w:proofErr w:type="spellStart"/>
      <w:r w:rsidR="00E06514">
        <w:rPr>
          <w:sz w:val="24"/>
          <w:szCs w:val="24"/>
          <w:lang w:eastAsia="en-US"/>
        </w:rPr>
        <w:t>т.о</w:t>
      </w:r>
      <w:proofErr w:type="spellEnd"/>
      <w:r w:rsidR="00E06514">
        <w:rPr>
          <w:sz w:val="24"/>
          <w:szCs w:val="24"/>
          <w:lang w:eastAsia="en-US"/>
        </w:rPr>
        <w:t>. прирост составил 11</w:t>
      </w:r>
      <w:r w:rsidR="00F73EE9">
        <w:rPr>
          <w:sz w:val="24"/>
          <w:szCs w:val="24"/>
          <w:lang w:eastAsia="en-US"/>
        </w:rPr>
        <w:t>4,5</w:t>
      </w:r>
      <w:r w:rsidR="003471F5" w:rsidRPr="003471F5">
        <w:rPr>
          <w:sz w:val="24"/>
          <w:szCs w:val="24"/>
          <w:lang w:eastAsia="en-US"/>
        </w:rPr>
        <w:t xml:space="preserve">%,  из них по оценочным данным, количество диких туристов </w:t>
      </w:r>
      <w:r w:rsidR="00E06514">
        <w:rPr>
          <w:sz w:val="24"/>
          <w:szCs w:val="24"/>
          <w:lang w:eastAsia="en-US"/>
        </w:rPr>
        <w:t xml:space="preserve">составило </w:t>
      </w:r>
      <w:r w:rsidR="00ED48D0">
        <w:rPr>
          <w:sz w:val="24"/>
          <w:szCs w:val="24"/>
          <w:lang w:eastAsia="en-US"/>
        </w:rPr>
        <w:t>2</w:t>
      </w:r>
      <w:r w:rsidR="00430308">
        <w:rPr>
          <w:sz w:val="24"/>
          <w:szCs w:val="24"/>
          <w:lang w:eastAsia="en-US"/>
        </w:rPr>
        <w:t>8</w:t>
      </w:r>
      <w:r w:rsidR="00E06514">
        <w:rPr>
          <w:sz w:val="24"/>
          <w:szCs w:val="24"/>
          <w:lang w:eastAsia="en-US"/>
        </w:rPr>
        <w:t>000 человек, количество туристов посетивших КБЖД 4</w:t>
      </w:r>
      <w:r w:rsidR="00F73EE9">
        <w:rPr>
          <w:sz w:val="24"/>
          <w:szCs w:val="24"/>
          <w:lang w:eastAsia="en-US"/>
        </w:rPr>
        <w:t>5</w:t>
      </w:r>
      <w:r w:rsidR="00E06514">
        <w:rPr>
          <w:sz w:val="24"/>
          <w:szCs w:val="24"/>
          <w:lang w:eastAsia="en-US"/>
        </w:rPr>
        <w:t> </w:t>
      </w:r>
      <w:r w:rsidR="00F73EE9">
        <w:rPr>
          <w:sz w:val="24"/>
          <w:szCs w:val="24"/>
          <w:lang w:eastAsia="en-US"/>
        </w:rPr>
        <w:t>8</w:t>
      </w:r>
      <w:r w:rsidR="00E06514">
        <w:rPr>
          <w:sz w:val="24"/>
          <w:szCs w:val="24"/>
          <w:lang w:eastAsia="en-US"/>
        </w:rPr>
        <w:t xml:space="preserve">00 </w:t>
      </w:r>
      <w:r w:rsidR="00430308">
        <w:rPr>
          <w:sz w:val="24"/>
          <w:szCs w:val="24"/>
          <w:lang w:eastAsia="en-US"/>
        </w:rPr>
        <w:t xml:space="preserve">человек, количество туристов, прибывших на территорию района с 1-дневным </w:t>
      </w:r>
      <w:r w:rsidR="00430308">
        <w:rPr>
          <w:sz w:val="24"/>
          <w:szCs w:val="24"/>
          <w:lang w:eastAsia="en-US"/>
        </w:rPr>
        <w:lastRenderedPageBreak/>
        <w:t xml:space="preserve">пребыванием, в </w:t>
      </w:r>
      <w:proofErr w:type="spellStart"/>
      <w:r w:rsidR="00430308">
        <w:rPr>
          <w:sz w:val="24"/>
          <w:szCs w:val="24"/>
          <w:lang w:eastAsia="en-US"/>
        </w:rPr>
        <w:t>т</w:t>
      </w:r>
      <w:proofErr w:type="gramEnd"/>
      <w:r w:rsidR="00430308">
        <w:rPr>
          <w:sz w:val="24"/>
          <w:szCs w:val="24"/>
          <w:lang w:eastAsia="en-US"/>
        </w:rPr>
        <w:t>.ч</w:t>
      </w:r>
      <w:proofErr w:type="spellEnd"/>
      <w:r w:rsidR="00430308">
        <w:rPr>
          <w:sz w:val="24"/>
          <w:szCs w:val="24"/>
          <w:lang w:eastAsia="en-US"/>
        </w:rPr>
        <w:t>. на событий</w:t>
      </w:r>
      <w:r w:rsidR="00ED48D0">
        <w:rPr>
          <w:sz w:val="24"/>
          <w:szCs w:val="24"/>
          <w:lang w:eastAsia="en-US"/>
        </w:rPr>
        <w:t>ные мероприятия</w:t>
      </w:r>
      <w:r w:rsidR="00C90C41">
        <w:rPr>
          <w:sz w:val="24"/>
          <w:szCs w:val="24"/>
          <w:lang w:eastAsia="en-US"/>
        </w:rPr>
        <w:t xml:space="preserve"> и горнолыжный курорт</w:t>
      </w:r>
      <w:r w:rsidR="00ED48D0">
        <w:rPr>
          <w:sz w:val="24"/>
          <w:szCs w:val="24"/>
          <w:lang w:eastAsia="en-US"/>
        </w:rPr>
        <w:t xml:space="preserve"> составило 127 85</w:t>
      </w:r>
      <w:r w:rsidR="00C90C41">
        <w:rPr>
          <w:sz w:val="24"/>
          <w:szCs w:val="24"/>
          <w:lang w:eastAsia="en-US"/>
        </w:rPr>
        <w:t xml:space="preserve">2 чел., </w:t>
      </w:r>
      <w:proofErr w:type="gramStart"/>
      <w:r w:rsidR="00C90C41" w:rsidRPr="003471F5">
        <w:rPr>
          <w:sz w:val="24"/>
          <w:szCs w:val="24"/>
          <w:lang w:eastAsia="en-US"/>
        </w:rPr>
        <w:t xml:space="preserve">туристов, воспользовавшихся услугами по размещению </w:t>
      </w:r>
      <w:r w:rsidR="00C90C41">
        <w:rPr>
          <w:sz w:val="24"/>
          <w:szCs w:val="24"/>
          <w:lang w:eastAsia="en-US"/>
        </w:rPr>
        <w:t>в коллективных средствах размещения составило</w:t>
      </w:r>
      <w:proofErr w:type="gramEnd"/>
      <w:r w:rsidR="00C90C41">
        <w:rPr>
          <w:sz w:val="24"/>
          <w:szCs w:val="24"/>
          <w:lang w:eastAsia="en-US"/>
        </w:rPr>
        <w:t xml:space="preserve"> </w:t>
      </w:r>
      <w:r w:rsidR="00C90C41" w:rsidRPr="003471F5">
        <w:rPr>
          <w:sz w:val="24"/>
          <w:szCs w:val="24"/>
          <w:lang w:eastAsia="en-US"/>
        </w:rPr>
        <w:t xml:space="preserve"> 4</w:t>
      </w:r>
      <w:r w:rsidR="00C90C41">
        <w:rPr>
          <w:sz w:val="24"/>
          <w:szCs w:val="24"/>
          <w:lang w:eastAsia="en-US"/>
        </w:rPr>
        <w:t>7 927</w:t>
      </w:r>
      <w:r w:rsidR="00C90C41" w:rsidRPr="003471F5">
        <w:rPr>
          <w:sz w:val="24"/>
          <w:szCs w:val="24"/>
          <w:lang w:eastAsia="en-US"/>
        </w:rPr>
        <w:t xml:space="preserve"> чел.</w:t>
      </w:r>
      <w:r w:rsidR="00C90C41">
        <w:rPr>
          <w:sz w:val="24"/>
          <w:szCs w:val="24"/>
          <w:lang w:eastAsia="en-US"/>
        </w:rPr>
        <w:t>, что составляет 19% от числа всех прибывших туристов на территорию</w:t>
      </w:r>
      <w:r w:rsidR="00430308">
        <w:rPr>
          <w:sz w:val="24"/>
          <w:szCs w:val="24"/>
          <w:lang w:eastAsia="en-US"/>
        </w:rPr>
        <w:t>.</w:t>
      </w:r>
      <w:r w:rsidR="00C90C41">
        <w:rPr>
          <w:sz w:val="24"/>
          <w:szCs w:val="24"/>
          <w:lang w:eastAsia="en-US"/>
        </w:rPr>
        <w:t xml:space="preserve"> </w:t>
      </w:r>
      <w:r w:rsidR="00026457">
        <w:rPr>
          <w:sz w:val="24"/>
          <w:szCs w:val="24"/>
          <w:lang w:eastAsia="en-US"/>
        </w:rPr>
        <w:t>Среди прибывших туристов в 2016 году 638 человек являются иностранными туристами, преимущественно из Китая (590 чел), что в 18,7 раза больше показателя 2015 года, когда иностранный поток туристов составил 34 человека.</w:t>
      </w:r>
    </w:p>
    <w:p w:rsidR="00C90C41" w:rsidRDefault="00C90C41" w:rsidP="00915BAC">
      <w:pPr>
        <w:ind w:firstLine="567"/>
        <w:jc w:val="both"/>
        <w:rPr>
          <w:sz w:val="24"/>
          <w:szCs w:val="24"/>
          <w:lang w:eastAsia="en-US"/>
        </w:rPr>
      </w:pPr>
    </w:p>
    <w:p w:rsidR="00535B56" w:rsidRDefault="000A140A" w:rsidP="00344A96">
      <w:pPr>
        <w:keepNext/>
        <w:jc w:val="both"/>
      </w:pPr>
      <w:r>
        <w:rPr>
          <w:noProof/>
          <w:sz w:val="24"/>
          <w:szCs w:val="24"/>
        </w:rPr>
        <w:drawing>
          <wp:inline distT="0" distB="0" distL="0" distR="0" wp14:anchorId="2C4F90F1" wp14:editId="03784718">
            <wp:extent cx="59436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0ED9" w:rsidRDefault="00F20ED9" w:rsidP="0007433B">
      <w:pPr>
        <w:ind w:firstLine="567"/>
        <w:jc w:val="both"/>
        <w:rPr>
          <w:sz w:val="24"/>
          <w:szCs w:val="24"/>
          <w:lang w:eastAsia="en-US"/>
        </w:rPr>
      </w:pPr>
    </w:p>
    <w:p w:rsidR="001F6050" w:rsidRDefault="00B6561E" w:rsidP="0007433B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туристского потока Южного Прибайкалья в 2016 году составляет в объеме туристского потока Иркутской области 16,4%.</w:t>
      </w:r>
    </w:p>
    <w:p w:rsidR="0007433B" w:rsidRPr="00EC0245" w:rsidRDefault="00723EDB" w:rsidP="0007433B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оказанных турист</w:t>
      </w:r>
      <w:r w:rsidR="0007433B" w:rsidRPr="00EC0245">
        <w:rPr>
          <w:sz w:val="24"/>
          <w:szCs w:val="24"/>
          <w:lang w:eastAsia="en-US"/>
        </w:rPr>
        <w:t xml:space="preserve">ских услуг в муниципальном образовании Слюдянский район  составил  </w:t>
      </w:r>
      <w:r w:rsidR="00EC0245" w:rsidRPr="00EC0245">
        <w:rPr>
          <w:sz w:val="24"/>
          <w:szCs w:val="24"/>
          <w:lang w:eastAsia="en-US"/>
        </w:rPr>
        <w:t>30</w:t>
      </w:r>
      <w:r w:rsidR="00901509">
        <w:rPr>
          <w:sz w:val="24"/>
          <w:szCs w:val="24"/>
          <w:lang w:eastAsia="en-US"/>
        </w:rPr>
        <w:t>0</w:t>
      </w:r>
      <w:r w:rsidR="00EC0245" w:rsidRPr="00EC0245">
        <w:rPr>
          <w:sz w:val="24"/>
          <w:szCs w:val="24"/>
          <w:lang w:eastAsia="en-US"/>
        </w:rPr>
        <w:t>,1</w:t>
      </w:r>
      <w:r w:rsidR="0007433B" w:rsidRPr="00EC0245">
        <w:rPr>
          <w:sz w:val="24"/>
          <w:szCs w:val="24"/>
          <w:lang w:eastAsia="en-US"/>
        </w:rPr>
        <w:t xml:space="preserve"> </w:t>
      </w:r>
      <w:proofErr w:type="spellStart"/>
      <w:r w:rsidR="0007433B" w:rsidRPr="00EC0245">
        <w:rPr>
          <w:sz w:val="24"/>
          <w:szCs w:val="24"/>
          <w:lang w:eastAsia="en-US"/>
        </w:rPr>
        <w:t>млн</w:t>
      </w:r>
      <w:proofErr w:type="gramStart"/>
      <w:r w:rsidR="0007433B" w:rsidRPr="00EC0245">
        <w:rPr>
          <w:sz w:val="24"/>
          <w:szCs w:val="24"/>
          <w:lang w:eastAsia="en-US"/>
        </w:rPr>
        <w:t>.р</w:t>
      </w:r>
      <w:proofErr w:type="gramEnd"/>
      <w:r w:rsidR="0007433B" w:rsidRPr="00EC0245">
        <w:rPr>
          <w:sz w:val="24"/>
          <w:szCs w:val="24"/>
          <w:lang w:eastAsia="en-US"/>
        </w:rPr>
        <w:t>уб</w:t>
      </w:r>
      <w:proofErr w:type="spellEnd"/>
      <w:r w:rsidR="0007433B" w:rsidRPr="00EC0245">
        <w:rPr>
          <w:sz w:val="24"/>
          <w:szCs w:val="24"/>
          <w:lang w:eastAsia="en-US"/>
        </w:rPr>
        <w:t xml:space="preserve"> к </w:t>
      </w:r>
      <w:r w:rsidR="00901509">
        <w:rPr>
          <w:sz w:val="24"/>
          <w:szCs w:val="24"/>
          <w:lang w:eastAsia="en-US"/>
        </w:rPr>
        <w:t>237,2</w:t>
      </w:r>
      <w:r w:rsidR="0007433B" w:rsidRPr="00EC0245">
        <w:rPr>
          <w:sz w:val="24"/>
          <w:szCs w:val="24"/>
          <w:lang w:eastAsia="en-US"/>
        </w:rPr>
        <w:t xml:space="preserve"> млн. руб. данных 2015 года, </w:t>
      </w:r>
      <w:proofErr w:type="spellStart"/>
      <w:r w:rsidR="0007433B" w:rsidRPr="00EC0245">
        <w:rPr>
          <w:sz w:val="24"/>
          <w:szCs w:val="24"/>
          <w:lang w:eastAsia="en-US"/>
        </w:rPr>
        <w:t>т.о</w:t>
      </w:r>
      <w:proofErr w:type="spellEnd"/>
      <w:r w:rsidR="0007433B" w:rsidRPr="00EC0245">
        <w:rPr>
          <w:sz w:val="24"/>
          <w:szCs w:val="24"/>
          <w:lang w:eastAsia="en-US"/>
        </w:rPr>
        <w:t xml:space="preserve">. прирост составил </w:t>
      </w:r>
      <w:r w:rsidR="00EC0245" w:rsidRPr="00EC0245">
        <w:rPr>
          <w:sz w:val="24"/>
          <w:szCs w:val="24"/>
          <w:lang w:eastAsia="en-US"/>
        </w:rPr>
        <w:t xml:space="preserve"> </w:t>
      </w:r>
      <w:r w:rsidR="00901509">
        <w:rPr>
          <w:sz w:val="24"/>
          <w:szCs w:val="24"/>
          <w:lang w:eastAsia="en-US"/>
        </w:rPr>
        <w:t>26</w:t>
      </w:r>
      <w:r w:rsidR="0007433B" w:rsidRPr="00EC0245">
        <w:rPr>
          <w:sz w:val="24"/>
          <w:szCs w:val="24"/>
          <w:lang w:eastAsia="en-US"/>
        </w:rPr>
        <w:t xml:space="preserve">%. </w:t>
      </w:r>
      <w:r w:rsidR="00901509">
        <w:rPr>
          <w:sz w:val="24"/>
          <w:szCs w:val="24"/>
          <w:lang w:eastAsia="en-US"/>
        </w:rPr>
        <w:t>Такой рост объясняется возросшим туристским потоком на горнолыжный курорт, КБЖД, а также общим ростом цен на туристские услуги).</w:t>
      </w:r>
    </w:p>
    <w:p w:rsidR="0007433B" w:rsidRPr="00EC0245" w:rsidRDefault="0007433B" w:rsidP="0007433B">
      <w:pPr>
        <w:ind w:firstLine="567"/>
        <w:jc w:val="both"/>
        <w:rPr>
          <w:sz w:val="24"/>
          <w:szCs w:val="24"/>
          <w:lang w:eastAsia="en-US"/>
        </w:rPr>
      </w:pPr>
      <w:r w:rsidRPr="00EC0245">
        <w:rPr>
          <w:sz w:val="24"/>
          <w:szCs w:val="24"/>
          <w:lang w:eastAsia="en-US"/>
        </w:rPr>
        <w:t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2016 году – 4,2 %, что соответствует уровню прошлого года.</w:t>
      </w:r>
    </w:p>
    <w:p w:rsidR="0007433B" w:rsidRDefault="0007433B" w:rsidP="0007433B">
      <w:pPr>
        <w:ind w:firstLine="567"/>
        <w:jc w:val="both"/>
        <w:rPr>
          <w:sz w:val="24"/>
          <w:szCs w:val="24"/>
          <w:lang w:eastAsia="en-US"/>
        </w:rPr>
      </w:pPr>
      <w:r w:rsidRPr="0007433B">
        <w:rPr>
          <w:sz w:val="24"/>
          <w:szCs w:val="24"/>
          <w:lang w:eastAsia="en-US"/>
        </w:rPr>
        <w:t xml:space="preserve">На территории муниципального образования  Слюдянский район осуществляют свою деятельность 3 туроператора, </w:t>
      </w:r>
      <w:proofErr w:type="gramStart"/>
      <w:r w:rsidRPr="0007433B">
        <w:rPr>
          <w:sz w:val="24"/>
          <w:szCs w:val="24"/>
          <w:lang w:eastAsia="en-US"/>
        </w:rPr>
        <w:t>зарегистрированных</w:t>
      </w:r>
      <w:proofErr w:type="gramEnd"/>
      <w:r w:rsidRPr="0007433B">
        <w:rPr>
          <w:sz w:val="24"/>
          <w:szCs w:val="24"/>
          <w:lang w:eastAsia="en-US"/>
        </w:rPr>
        <w:t xml:space="preserve"> в установленном законом порядке.</w:t>
      </w:r>
    </w:p>
    <w:p w:rsidR="00C1601C" w:rsidRPr="00C1601C" w:rsidRDefault="003F1F43" w:rsidP="00C1601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</w:t>
      </w:r>
      <w:r w:rsidR="00C1601C">
        <w:rPr>
          <w:sz w:val="24"/>
          <w:szCs w:val="24"/>
          <w:lang w:eastAsia="en-US"/>
        </w:rPr>
        <w:t>мимо этого на территории Слюдянского района (в г. Байкальске) продолжает функционировать особая экономическая зона</w:t>
      </w:r>
      <w:r w:rsidR="00C1601C" w:rsidRPr="00C1601C">
        <w:rPr>
          <w:sz w:val="24"/>
          <w:szCs w:val="24"/>
          <w:lang w:eastAsia="en-US"/>
        </w:rPr>
        <w:t xml:space="preserve"> туристско-рекреационного типа  «Ворота Байкала»</w:t>
      </w:r>
      <w:r w:rsidR="00C1601C">
        <w:rPr>
          <w:sz w:val="24"/>
          <w:szCs w:val="24"/>
          <w:lang w:eastAsia="en-US"/>
        </w:rPr>
        <w:t xml:space="preserve">, общая </w:t>
      </w:r>
      <w:proofErr w:type="gramStart"/>
      <w:r w:rsidR="00C1601C">
        <w:rPr>
          <w:sz w:val="24"/>
          <w:szCs w:val="24"/>
          <w:lang w:eastAsia="en-US"/>
        </w:rPr>
        <w:t>площадь</w:t>
      </w:r>
      <w:proofErr w:type="gramEnd"/>
      <w:r w:rsidR="00C1601C">
        <w:rPr>
          <w:sz w:val="24"/>
          <w:szCs w:val="24"/>
          <w:lang w:eastAsia="en-US"/>
        </w:rPr>
        <w:t xml:space="preserve"> которой 756,97 га.</w:t>
      </w:r>
      <w:r w:rsidR="00C1601C" w:rsidRPr="00C1601C">
        <w:rPr>
          <w:sz w:val="24"/>
          <w:szCs w:val="24"/>
          <w:lang w:eastAsia="en-US"/>
        </w:rPr>
        <w:t xml:space="preserve"> В сентябре 2016 года между Минэкономразвития России и Правительством Иркутской области заключено соглашение о передаче полномочий по управлению особой экономической зоной Правительству Иркутской области. Данным соглашением Правительству Иркутской области делегировано осуществление следующих полномочий: </w:t>
      </w:r>
    </w:p>
    <w:p w:rsidR="00C1601C" w:rsidRPr="00C1601C" w:rsidRDefault="00C1601C" w:rsidP="00C1601C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 xml:space="preserve">1) ведение реестра резидентов ОЭЗ; </w:t>
      </w:r>
    </w:p>
    <w:p w:rsidR="00C1601C" w:rsidRPr="00C1601C" w:rsidRDefault="00C1601C" w:rsidP="00C1601C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 xml:space="preserve">2) выдача по требованиям резидентов или по запросам заинтересованных лиц выписки из реестра резидентов ОЭЗ; </w:t>
      </w:r>
    </w:p>
    <w:p w:rsidR="00C1601C" w:rsidRPr="00C1601C" w:rsidRDefault="00C1601C" w:rsidP="00C1601C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 xml:space="preserve">3) осуществление </w:t>
      </w:r>
      <w:proofErr w:type="gramStart"/>
      <w:r w:rsidRPr="00C1601C">
        <w:rPr>
          <w:sz w:val="24"/>
          <w:szCs w:val="24"/>
          <w:lang w:eastAsia="en-US"/>
        </w:rPr>
        <w:t>контроля за</w:t>
      </w:r>
      <w:proofErr w:type="gramEnd"/>
      <w:r w:rsidRPr="00C1601C">
        <w:rPr>
          <w:sz w:val="24"/>
          <w:szCs w:val="24"/>
          <w:lang w:eastAsia="en-US"/>
        </w:rPr>
        <w:t xml:space="preserve"> исполнением резидентом ОЭЗ соглашения об осуществлении деятельности в ОЭЗ; </w:t>
      </w:r>
    </w:p>
    <w:p w:rsidR="00C1601C" w:rsidRPr="00C1601C" w:rsidRDefault="00C1601C" w:rsidP="00C1601C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lastRenderedPageBreak/>
        <w:t xml:space="preserve">4) заключение соглашений об осуществлении деятельности в порядке, установленном Федеральным законом от 22 июля 2005 г. №116-ФЗ «Об особых экономических зонах в Российской Федерации»; </w:t>
      </w:r>
    </w:p>
    <w:p w:rsidR="00C1601C" w:rsidRPr="00C1601C" w:rsidRDefault="00C1601C" w:rsidP="00C1601C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>5) выполнение функций государственного заказчика по подготовке документации по планировке территории в границах ОЭЗ и созданию инженерной, транспортной, социальной, инновационной и иных инфраструктур этой зоны за счет средств федерального бюджета, бюджета субъекта Российской Федерации, местного бюджета, если иное не установлено законодательством Российской Федерации;</w:t>
      </w:r>
    </w:p>
    <w:p w:rsidR="00C1601C" w:rsidRPr="00C1601C" w:rsidRDefault="00C1601C" w:rsidP="00C1601C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>6) обеспечение проведения экспертизы проектной документации и результатов инженерных изысканий.</w:t>
      </w:r>
    </w:p>
    <w:p w:rsidR="005E2441" w:rsidRPr="00C1601C" w:rsidRDefault="005E2441" w:rsidP="005E2441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>По состоянию на 01.01.2017 года в  особой экономической зоне зарегистрировано 6 резидентов, из которых:</w:t>
      </w:r>
    </w:p>
    <w:p w:rsidR="005E2441" w:rsidRPr="00C1601C" w:rsidRDefault="005E2441" w:rsidP="005E2441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>- ООО БГК «Гора Соболиная»</w:t>
      </w:r>
      <w:r w:rsidR="003F1F43">
        <w:rPr>
          <w:sz w:val="24"/>
          <w:szCs w:val="24"/>
          <w:lang w:eastAsia="en-US"/>
        </w:rPr>
        <w:t>:</w:t>
      </w:r>
      <w:r w:rsidRPr="00C1601C">
        <w:rPr>
          <w:sz w:val="24"/>
          <w:szCs w:val="24"/>
          <w:lang w:eastAsia="en-US"/>
        </w:rPr>
        <w:t xml:space="preserve"> в отчетном периоде не инвестировались средства в проект по созданию центра туризма «Гора Соболиная». На базе действующего горнолыжного курорта эксплуатируются 4 объекта: бар, кафе «Высота 900», гостиница «Гранд Байкал», веревочный парк развлечений. Среднегодовая загрузка номерного фонда туристических объектов составляет 30%. В связи с неготовностью объектов инженерной инфраструктуры ОЭЗ, </w:t>
      </w:r>
      <w:proofErr w:type="gramStart"/>
      <w:r w:rsidRPr="00C1601C">
        <w:rPr>
          <w:sz w:val="24"/>
          <w:szCs w:val="24"/>
          <w:lang w:eastAsia="en-US"/>
        </w:rPr>
        <w:t>вынужден</w:t>
      </w:r>
      <w:proofErr w:type="gramEnd"/>
      <w:r w:rsidRPr="00C1601C">
        <w:rPr>
          <w:sz w:val="24"/>
          <w:szCs w:val="24"/>
          <w:lang w:eastAsia="en-US"/>
        </w:rPr>
        <w:t xml:space="preserve"> подключить построенные объекты к существующим сетям г. Байкальска, нести расходы за технологическое присоединение на общих основаниях. Мощности существующих городских сетей не обеспечивают необходимую нагрузку для объектов резидента. В связи с этим становится проблематичной дальнейшая реализация проекта. </w:t>
      </w:r>
    </w:p>
    <w:p w:rsidR="005E2441" w:rsidRPr="00C1601C" w:rsidRDefault="005E2441" w:rsidP="005E2441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>- ООО «Илим Байкал», ООО «</w:t>
      </w:r>
      <w:proofErr w:type="spellStart"/>
      <w:r w:rsidRPr="00C1601C">
        <w:rPr>
          <w:sz w:val="24"/>
          <w:szCs w:val="24"/>
          <w:lang w:eastAsia="en-US"/>
        </w:rPr>
        <w:t>Гринвальд</w:t>
      </w:r>
      <w:proofErr w:type="spellEnd"/>
      <w:r w:rsidRPr="00C1601C">
        <w:rPr>
          <w:sz w:val="24"/>
          <w:szCs w:val="24"/>
          <w:lang w:eastAsia="en-US"/>
        </w:rPr>
        <w:t xml:space="preserve"> Байкал», ООО «Байкал-Аква»</w:t>
      </w:r>
      <w:proofErr w:type="gramStart"/>
      <w:r w:rsidRPr="00C1601C">
        <w:rPr>
          <w:sz w:val="24"/>
          <w:szCs w:val="24"/>
          <w:lang w:eastAsia="en-US"/>
        </w:rPr>
        <w:t xml:space="preserve"> ,</w:t>
      </w:r>
      <w:proofErr w:type="gramEnd"/>
      <w:r w:rsidRPr="00C1601C">
        <w:rPr>
          <w:sz w:val="24"/>
          <w:szCs w:val="24"/>
          <w:lang w:eastAsia="en-US"/>
        </w:rPr>
        <w:t xml:space="preserve"> ООО «Уют+» не приступают к строительству в связи с неготовностью объектов инженерной инфраструктуры ОЭЗ.</w:t>
      </w:r>
    </w:p>
    <w:p w:rsidR="005E2441" w:rsidRPr="00C1601C" w:rsidRDefault="005E2441" w:rsidP="005E2441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>- Для реализации проекта строительство и организация деятельности гостиничного комплекса «Горный двор» в особой экономической зоне,  учредителям</w:t>
      </w:r>
      <w:proofErr w:type="gramStart"/>
      <w:r w:rsidRPr="00C1601C">
        <w:rPr>
          <w:sz w:val="24"/>
          <w:szCs w:val="24"/>
          <w:lang w:eastAsia="en-US"/>
        </w:rPr>
        <w:t>и ООО</w:t>
      </w:r>
      <w:proofErr w:type="gramEnd"/>
      <w:r w:rsidRPr="00C1601C">
        <w:rPr>
          <w:sz w:val="24"/>
          <w:szCs w:val="24"/>
          <w:lang w:eastAsia="en-US"/>
        </w:rPr>
        <w:t xml:space="preserve"> «Соболь» и ООО «Виста»  создан оператор ООО «Байкальск </w:t>
      </w:r>
      <w:proofErr w:type="spellStart"/>
      <w:r w:rsidRPr="00C1601C">
        <w:rPr>
          <w:sz w:val="24"/>
          <w:szCs w:val="24"/>
          <w:lang w:eastAsia="en-US"/>
        </w:rPr>
        <w:t>Девелопмент</w:t>
      </w:r>
      <w:proofErr w:type="spellEnd"/>
      <w:r w:rsidRPr="00C1601C">
        <w:rPr>
          <w:sz w:val="24"/>
          <w:szCs w:val="24"/>
          <w:lang w:eastAsia="en-US"/>
        </w:rPr>
        <w:t xml:space="preserve">». В настоящее время </w:t>
      </w:r>
      <w:r>
        <w:rPr>
          <w:sz w:val="24"/>
          <w:szCs w:val="24"/>
          <w:lang w:eastAsia="en-US"/>
        </w:rPr>
        <w:t xml:space="preserve">указанным резидентом </w:t>
      </w:r>
      <w:r w:rsidRPr="00C1601C">
        <w:rPr>
          <w:sz w:val="24"/>
          <w:szCs w:val="24"/>
          <w:lang w:eastAsia="en-US"/>
        </w:rPr>
        <w:t>разрабатывается бизнес – план</w:t>
      </w:r>
      <w:r>
        <w:rPr>
          <w:sz w:val="24"/>
          <w:szCs w:val="24"/>
          <w:lang w:eastAsia="en-US"/>
        </w:rPr>
        <w:t xml:space="preserve"> проекта</w:t>
      </w:r>
      <w:r w:rsidRPr="00C1601C">
        <w:rPr>
          <w:sz w:val="24"/>
          <w:szCs w:val="24"/>
          <w:lang w:eastAsia="en-US"/>
        </w:rPr>
        <w:t>.</w:t>
      </w:r>
    </w:p>
    <w:p w:rsidR="00C1601C" w:rsidRPr="00C1601C" w:rsidRDefault="00C1601C" w:rsidP="00C1601C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C1601C">
        <w:rPr>
          <w:sz w:val="24"/>
          <w:szCs w:val="24"/>
          <w:lang w:eastAsia="en-US"/>
        </w:rPr>
        <w:t xml:space="preserve">По итогам 2016 года </w:t>
      </w:r>
      <w:r w:rsidR="005E2441">
        <w:rPr>
          <w:sz w:val="24"/>
          <w:szCs w:val="24"/>
          <w:lang w:eastAsia="en-US"/>
        </w:rPr>
        <w:t xml:space="preserve">ОЭЗ </w:t>
      </w:r>
      <w:r w:rsidR="00C62EBB">
        <w:rPr>
          <w:sz w:val="24"/>
          <w:szCs w:val="24"/>
          <w:lang w:eastAsia="en-US"/>
        </w:rPr>
        <w:t>с</w:t>
      </w:r>
      <w:r w:rsidR="00C62EBB" w:rsidRPr="00C1601C">
        <w:rPr>
          <w:sz w:val="24"/>
          <w:szCs w:val="24"/>
          <w:lang w:eastAsia="en-US"/>
        </w:rPr>
        <w:t>формированы Наблюдательный и Экспертный советы</w:t>
      </w:r>
      <w:r w:rsidR="00C62EBB">
        <w:rPr>
          <w:sz w:val="24"/>
          <w:szCs w:val="24"/>
          <w:lang w:eastAsia="en-US"/>
        </w:rPr>
        <w:t>, в состав которых, в том числе  входит  мэр района</w:t>
      </w:r>
      <w:r w:rsidR="00C62EBB" w:rsidRPr="00C1601C">
        <w:rPr>
          <w:sz w:val="24"/>
          <w:szCs w:val="24"/>
          <w:lang w:eastAsia="en-US"/>
        </w:rPr>
        <w:t>.</w:t>
      </w:r>
      <w:proofErr w:type="gramEnd"/>
      <w:r w:rsidR="00C62EBB">
        <w:rPr>
          <w:sz w:val="24"/>
          <w:szCs w:val="24"/>
          <w:lang w:eastAsia="en-US"/>
        </w:rPr>
        <w:t xml:space="preserve"> З</w:t>
      </w:r>
      <w:r w:rsidRPr="00C1601C">
        <w:rPr>
          <w:sz w:val="24"/>
          <w:szCs w:val="24"/>
          <w:lang w:eastAsia="en-US"/>
        </w:rPr>
        <w:t xml:space="preserve">авершены работы по проектированию </w:t>
      </w:r>
      <w:r w:rsidRPr="00613F57">
        <w:rPr>
          <w:sz w:val="24"/>
          <w:szCs w:val="24"/>
          <w:lang w:eastAsia="en-US"/>
        </w:rPr>
        <w:t>внутриплощадочных объектов</w:t>
      </w:r>
      <w:r w:rsidRPr="00C1601C">
        <w:rPr>
          <w:sz w:val="24"/>
          <w:szCs w:val="24"/>
          <w:lang w:eastAsia="en-US"/>
        </w:rPr>
        <w:t xml:space="preserve"> инженерной инфраструктуры ОЭЗ ТРТ, выполненные по заказу управляющей компан</w:t>
      </w:r>
      <w:proofErr w:type="gramStart"/>
      <w:r w:rsidRPr="00C1601C">
        <w:rPr>
          <w:sz w:val="24"/>
          <w:szCs w:val="24"/>
          <w:lang w:eastAsia="en-US"/>
        </w:rPr>
        <w:t>ии АО</w:t>
      </w:r>
      <w:proofErr w:type="gramEnd"/>
      <w:r w:rsidRPr="00C1601C">
        <w:rPr>
          <w:sz w:val="24"/>
          <w:szCs w:val="24"/>
          <w:lang w:eastAsia="en-US"/>
        </w:rPr>
        <w:t xml:space="preserve"> «Особые экономические зоны». Получены положительные заключения государственной экспертизы проектной документации и государственной экологической экспертизы.</w:t>
      </w:r>
    </w:p>
    <w:p w:rsidR="00C1601C" w:rsidRDefault="00C1601C" w:rsidP="00C1601C">
      <w:pPr>
        <w:ind w:firstLine="567"/>
        <w:jc w:val="both"/>
        <w:rPr>
          <w:sz w:val="24"/>
          <w:szCs w:val="24"/>
          <w:lang w:eastAsia="en-US"/>
        </w:rPr>
      </w:pPr>
      <w:r w:rsidRPr="00C1601C">
        <w:rPr>
          <w:sz w:val="24"/>
          <w:szCs w:val="24"/>
          <w:lang w:eastAsia="en-US"/>
        </w:rPr>
        <w:t>Также завершена разработка проектной документации объектов инженерной инфраструктуры для обустройства ОЭЗ (инженерные сети на прилегающей территории и улично-дорожная сеть), выполненная по заказу ОГКУ УКС Иркутской области. Получены положительные заключения государственной экспертизы проектной документации. Проведение государственной экологической экспертизы запланировано на 2017 год.</w:t>
      </w:r>
    </w:p>
    <w:p w:rsidR="00193D51" w:rsidRPr="00193D51" w:rsidRDefault="00193D51" w:rsidP="00026457">
      <w:pPr>
        <w:ind w:firstLine="567"/>
        <w:jc w:val="center"/>
        <w:rPr>
          <w:b/>
          <w:sz w:val="24"/>
          <w:szCs w:val="24"/>
          <w:lang w:eastAsia="en-US"/>
        </w:rPr>
      </w:pPr>
      <w:r w:rsidRPr="00193D51">
        <w:rPr>
          <w:b/>
          <w:sz w:val="24"/>
          <w:szCs w:val="24"/>
          <w:lang w:eastAsia="en-US"/>
        </w:rPr>
        <w:t xml:space="preserve">Основные показатели развития туристской деятельности Слюдянского района </w:t>
      </w:r>
      <w:r w:rsidR="00AE6208">
        <w:rPr>
          <w:b/>
          <w:sz w:val="24"/>
          <w:szCs w:val="24"/>
          <w:lang w:eastAsia="en-US"/>
        </w:rPr>
        <w:t>за трехлетний период (2014-2016 годы)</w:t>
      </w:r>
    </w:p>
    <w:p w:rsidR="001F6050" w:rsidRDefault="001F6050" w:rsidP="0007433B">
      <w:pPr>
        <w:ind w:firstLine="567"/>
        <w:jc w:val="both"/>
        <w:rPr>
          <w:sz w:val="24"/>
          <w:szCs w:val="24"/>
          <w:lang w:eastAsia="en-US"/>
        </w:rPr>
      </w:pPr>
    </w:p>
    <w:tbl>
      <w:tblPr>
        <w:tblStyle w:val="aa"/>
        <w:tblW w:w="9463" w:type="dxa"/>
        <w:tblInd w:w="108" w:type="dxa"/>
        <w:tblLook w:val="04A0" w:firstRow="1" w:lastRow="0" w:firstColumn="1" w:lastColumn="0" w:noHBand="0" w:noVBand="1"/>
      </w:tblPr>
      <w:tblGrid>
        <w:gridCol w:w="2316"/>
        <w:gridCol w:w="991"/>
        <w:gridCol w:w="1808"/>
        <w:gridCol w:w="1808"/>
        <w:gridCol w:w="951"/>
        <w:gridCol w:w="1589"/>
      </w:tblGrid>
      <w:tr w:rsidR="00176EA4" w:rsidRPr="001F6050" w:rsidTr="00D55A71">
        <w:tc>
          <w:tcPr>
            <w:tcW w:w="2316" w:type="dxa"/>
          </w:tcPr>
          <w:p w:rsidR="00686A92" w:rsidRPr="001F6050" w:rsidRDefault="00686A92" w:rsidP="001F605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2015</w:t>
            </w:r>
          </w:p>
        </w:tc>
        <w:tc>
          <w:tcPr>
            <w:tcW w:w="1808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2016</w:t>
            </w:r>
          </w:p>
        </w:tc>
        <w:tc>
          <w:tcPr>
            <w:tcW w:w="951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Темп роста 2016 к 2015 году</w:t>
            </w:r>
          </w:p>
        </w:tc>
        <w:tc>
          <w:tcPr>
            <w:tcW w:w="1589" w:type="dxa"/>
          </w:tcPr>
          <w:p w:rsidR="00686A92" w:rsidRPr="001F6050" w:rsidRDefault="00686A92" w:rsidP="0068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показателей Слюдянского района в показателях Иркутской области за 2016 год</w:t>
            </w:r>
          </w:p>
        </w:tc>
      </w:tr>
      <w:tr w:rsidR="00176EA4" w:rsidRPr="001F6050" w:rsidTr="00D55A71">
        <w:tc>
          <w:tcPr>
            <w:tcW w:w="2316" w:type="dxa"/>
          </w:tcPr>
          <w:p w:rsidR="00686A92" w:rsidRPr="001F6050" w:rsidRDefault="00686A92" w:rsidP="001F6050">
            <w:pPr>
              <w:jc w:val="both"/>
              <w:rPr>
                <w:sz w:val="24"/>
                <w:szCs w:val="24"/>
                <w:lang w:eastAsia="en-US"/>
              </w:rPr>
            </w:pPr>
            <w:r w:rsidRPr="001F6050">
              <w:rPr>
                <w:sz w:val="24"/>
                <w:szCs w:val="24"/>
                <w:lang w:eastAsia="en-US"/>
              </w:rPr>
              <w:t>Туристский поток</w:t>
            </w:r>
            <w:r w:rsidR="00176EA4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76EA4">
              <w:rPr>
                <w:sz w:val="24"/>
                <w:szCs w:val="24"/>
                <w:lang w:eastAsia="en-US"/>
              </w:rPr>
              <w:lastRenderedPageBreak/>
              <w:t>тыс</w:t>
            </w:r>
            <w:proofErr w:type="gramStart"/>
            <w:r w:rsidR="00176EA4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="00176EA4">
              <w:rPr>
                <w:sz w:val="24"/>
                <w:szCs w:val="24"/>
                <w:lang w:eastAsia="en-US"/>
              </w:rPr>
              <w:t>ел</w:t>
            </w:r>
            <w:proofErr w:type="spellEnd"/>
            <w:r w:rsidR="00176E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</w:tcPr>
          <w:p w:rsidR="00686A92" w:rsidRPr="00193D51" w:rsidRDefault="00864B9F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216,53</w:t>
            </w: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:rsidR="00686A92" w:rsidRPr="00193D51" w:rsidRDefault="00864B9F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217,942</w:t>
            </w:r>
          </w:p>
        </w:tc>
        <w:tc>
          <w:tcPr>
            <w:tcW w:w="1808" w:type="dxa"/>
          </w:tcPr>
          <w:p w:rsidR="00686A92" w:rsidRPr="00193D51" w:rsidRDefault="00864B9F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249,597</w:t>
            </w:r>
          </w:p>
        </w:tc>
        <w:tc>
          <w:tcPr>
            <w:tcW w:w="951" w:type="dxa"/>
          </w:tcPr>
          <w:p w:rsidR="00686A92" w:rsidRPr="001F6050" w:rsidRDefault="00864B9F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  <w:r w:rsidR="00686A92" w:rsidRPr="001F605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89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16,4</w:t>
            </w:r>
            <w:r w:rsidR="00157A08">
              <w:rPr>
                <w:sz w:val="24"/>
                <w:szCs w:val="24"/>
              </w:rPr>
              <w:t>%</w:t>
            </w:r>
          </w:p>
        </w:tc>
      </w:tr>
      <w:tr w:rsidR="00176EA4" w:rsidRPr="001F6050" w:rsidTr="00D55A71">
        <w:tc>
          <w:tcPr>
            <w:tcW w:w="2316" w:type="dxa"/>
          </w:tcPr>
          <w:p w:rsidR="00686A92" w:rsidRPr="001F6050" w:rsidRDefault="00686A92" w:rsidP="001F6050">
            <w:pPr>
              <w:jc w:val="both"/>
              <w:rPr>
                <w:sz w:val="24"/>
                <w:szCs w:val="24"/>
                <w:lang w:eastAsia="en-US"/>
              </w:rPr>
            </w:pPr>
            <w:r w:rsidRPr="001F6050">
              <w:rPr>
                <w:sz w:val="24"/>
                <w:szCs w:val="24"/>
                <w:lang w:eastAsia="en-US"/>
              </w:rPr>
              <w:lastRenderedPageBreak/>
              <w:t>Объем туристских услуг</w:t>
            </w:r>
            <w:r w:rsidR="00176EA4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76EA4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176EA4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176EA4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="00176E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</w:tcPr>
          <w:p w:rsidR="00686A92" w:rsidRPr="00193D51" w:rsidRDefault="00C51455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  <w:tc>
          <w:tcPr>
            <w:tcW w:w="1808" w:type="dxa"/>
          </w:tcPr>
          <w:p w:rsidR="00686A92" w:rsidRPr="00193D51" w:rsidRDefault="00C51455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237,2</w:t>
            </w:r>
          </w:p>
        </w:tc>
        <w:tc>
          <w:tcPr>
            <w:tcW w:w="1808" w:type="dxa"/>
          </w:tcPr>
          <w:p w:rsidR="00686A92" w:rsidRPr="00193D51" w:rsidRDefault="00686A92" w:rsidP="00C51455">
            <w:pPr>
              <w:rPr>
                <w:sz w:val="24"/>
                <w:szCs w:val="24"/>
              </w:rPr>
            </w:pPr>
            <w:r w:rsidRPr="00193D51">
              <w:rPr>
                <w:sz w:val="24"/>
                <w:szCs w:val="24"/>
              </w:rPr>
              <w:t>30</w:t>
            </w:r>
            <w:r w:rsidR="00C51455">
              <w:rPr>
                <w:sz w:val="24"/>
                <w:szCs w:val="24"/>
              </w:rPr>
              <w:t>0</w:t>
            </w:r>
            <w:r w:rsidRPr="00193D51">
              <w:rPr>
                <w:sz w:val="24"/>
                <w:szCs w:val="24"/>
              </w:rPr>
              <w:t>,1</w:t>
            </w:r>
          </w:p>
        </w:tc>
        <w:tc>
          <w:tcPr>
            <w:tcW w:w="951" w:type="dxa"/>
          </w:tcPr>
          <w:p w:rsidR="00686A92" w:rsidRPr="001F6050" w:rsidRDefault="00C51455" w:rsidP="00C5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86A92" w:rsidRPr="001F6050">
              <w:rPr>
                <w:sz w:val="24"/>
                <w:szCs w:val="24"/>
              </w:rPr>
              <w:t>%</w:t>
            </w:r>
          </w:p>
        </w:tc>
        <w:tc>
          <w:tcPr>
            <w:tcW w:w="1589" w:type="dxa"/>
          </w:tcPr>
          <w:p w:rsidR="00686A92" w:rsidRPr="001F6050" w:rsidRDefault="00A85D49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  <w:r w:rsidR="00157A08">
              <w:rPr>
                <w:sz w:val="24"/>
                <w:szCs w:val="24"/>
              </w:rPr>
              <w:t>%</w:t>
            </w:r>
          </w:p>
        </w:tc>
      </w:tr>
      <w:tr w:rsidR="00176EA4" w:rsidRPr="001F6050" w:rsidTr="00D55A71">
        <w:tc>
          <w:tcPr>
            <w:tcW w:w="2316" w:type="dxa"/>
          </w:tcPr>
          <w:p w:rsidR="00686A92" w:rsidRPr="001F6050" w:rsidRDefault="00686A92" w:rsidP="001F6050">
            <w:pPr>
              <w:jc w:val="both"/>
              <w:rPr>
                <w:sz w:val="24"/>
                <w:szCs w:val="24"/>
                <w:lang w:eastAsia="en-US"/>
              </w:rPr>
            </w:pPr>
            <w:r w:rsidRPr="001F6050">
              <w:rPr>
                <w:sz w:val="24"/>
                <w:szCs w:val="24"/>
                <w:lang w:eastAsia="en-US"/>
              </w:rPr>
              <w:t>Занятость в туризме</w:t>
            </w:r>
            <w:r w:rsidR="00176EA4">
              <w:rPr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991" w:type="dxa"/>
          </w:tcPr>
          <w:p w:rsidR="00686A92" w:rsidRPr="00193D51" w:rsidRDefault="00686A92" w:rsidP="00747440">
            <w:pPr>
              <w:rPr>
                <w:sz w:val="24"/>
                <w:szCs w:val="24"/>
              </w:rPr>
            </w:pPr>
            <w:r w:rsidRPr="00193D51">
              <w:rPr>
                <w:sz w:val="24"/>
                <w:szCs w:val="24"/>
              </w:rPr>
              <w:t>565</w:t>
            </w:r>
          </w:p>
        </w:tc>
        <w:tc>
          <w:tcPr>
            <w:tcW w:w="1808" w:type="dxa"/>
          </w:tcPr>
          <w:p w:rsidR="00686A92" w:rsidRPr="00193D51" w:rsidRDefault="00686A92" w:rsidP="00747440">
            <w:pPr>
              <w:rPr>
                <w:sz w:val="24"/>
                <w:szCs w:val="24"/>
              </w:rPr>
            </w:pPr>
            <w:r w:rsidRPr="00193D51">
              <w:rPr>
                <w:sz w:val="24"/>
                <w:szCs w:val="24"/>
              </w:rPr>
              <w:t>565</w:t>
            </w:r>
          </w:p>
        </w:tc>
        <w:tc>
          <w:tcPr>
            <w:tcW w:w="1808" w:type="dxa"/>
          </w:tcPr>
          <w:p w:rsidR="00686A92" w:rsidRPr="00193D51" w:rsidRDefault="00686A92" w:rsidP="00747440">
            <w:pPr>
              <w:rPr>
                <w:sz w:val="24"/>
                <w:szCs w:val="24"/>
              </w:rPr>
            </w:pPr>
            <w:r w:rsidRPr="00193D51">
              <w:rPr>
                <w:sz w:val="24"/>
                <w:szCs w:val="24"/>
              </w:rPr>
              <w:t>565</w:t>
            </w:r>
          </w:p>
        </w:tc>
        <w:tc>
          <w:tcPr>
            <w:tcW w:w="951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686A92" w:rsidRPr="001F6050" w:rsidRDefault="00157A08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</w:tr>
      <w:tr w:rsidR="00D55A71" w:rsidRPr="001F6050" w:rsidTr="00D55A71">
        <w:tc>
          <w:tcPr>
            <w:tcW w:w="2316" w:type="dxa"/>
          </w:tcPr>
          <w:p w:rsidR="00D55A71" w:rsidRPr="001F6050" w:rsidRDefault="00D55A71" w:rsidP="001F6050">
            <w:pPr>
              <w:jc w:val="both"/>
              <w:rPr>
                <w:sz w:val="24"/>
                <w:szCs w:val="24"/>
                <w:lang w:eastAsia="en-US"/>
              </w:rPr>
            </w:pPr>
            <w:r w:rsidRPr="001F6050">
              <w:rPr>
                <w:sz w:val="24"/>
                <w:szCs w:val="24"/>
                <w:lang w:eastAsia="en-US"/>
              </w:rPr>
              <w:t>Количество КСР</w:t>
            </w:r>
            <w:r>
              <w:rPr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991" w:type="dxa"/>
          </w:tcPr>
          <w:p w:rsidR="00D55A71" w:rsidRPr="00193D51" w:rsidRDefault="00D55A71" w:rsidP="00747440">
            <w:pPr>
              <w:rPr>
                <w:sz w:val="24"/>
                <w:szCs w:val="24"/>
              </w:rPr>
            </w:pPr>
            <w:r w:rsidRPr="00193D51">
              <w:rPr>
                <w:sz w:val="24"/>
                <w:szCs w:val="24"/>
              </w:rPr>
              <w:t>44</w:t>
            </w:r>
          </w:p>
        </w:tc>
        <w:tc>
          <w:tcPr>
            <w:tcW w:w="1808" w:type="dxa"/>
          </w:tcPr>
          <w:p w:rsidR="00D55A71" w:rsidRPr="00193D51" w:rsidRDefault="00D55A71" w:rsidP="00C9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08" w:type="dxa"/>
          </w:tcPr>
          <w:p w:rsidR="00D55A71" w:rsidRPr="00193D51" w:rsidRDefault="00D55A71" w:rsidP="00C9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51" w:type="dxa"/>
          </w:tcPr>
          <w:p w:rsidR="00D55A71" w:rsidRPr="001F6050" w:rsidRDefault="00D55A71" w:rsidP="00C9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  <w:r w:rsidRPr="001F6050">
              <w:rPr>
                <w:sz w:val="24"/>
                <w:szCs w:val="24"/>
              </w:rPr>
              <w:t>%</w:t>
            </w:r>
          </w:p>
        </w:tc>
        <w:tc>
          <w:tcPr>
            <w:tcW w:w="1589" w:type="dxa"/>
          </w:tcPr>
          <w:p w:rsidR="00D55A71" w:rsidRPr="001F6050" w:rsidRDefault="00D55A71" w:rsidP="00C9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55A71" w:rsidRPr="001F6050" w:rsidTr="00D55A71">
        <w:tc>
          <w:tcPr>
            <w:tcW w:w="2316" w:type="dxa"/>
          </w:tcPr>
          <w:p w:rsidR="00D55A71" w:rsidRPr="001F6050" w:rsidRDefault="00D55A71" w:rsidP="001F6050">
            <w:pPr>
              <w:jc w:val="both"/>
              <w:rPr>
                <w:sz w:val="24"/>
                <w:szCs w:val="24"/>
                <w:lang w:eastAsia="en-US"/>
              </w:rPr>
            </w:pPr>
            <w:r w:rsidRPr="001F6050">
              <w:rPr>
                <w:sz w:val="24"/>
                <w:szCs w:val="24"/>
                <w:lang w:eastAsia="en-US"/>
              </w:rPr>
              <w:t>Количество койко-мест</w:t>
            </w:r>
            <w:r>
              <w:rPr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991" w:type="dxa"/>
          </w:tcPr>
          <w:p w:rsidR="00D55A71" w:rsidRPr="00193D51" w:rsidRDefault="00D55A71" w:rsidP="00747440">
            <w:pPr>
              <w:rPr>
                <w:sz w:val="24"/>
                <w:szCs w:val="24"/>
              </w:rPr>
            </w:pPr>
            <w:r w:rsidRPr="00193D51">
              <w:rPr>
                <w:sz w:val="24"/>
                <w:szCs w:val="24"/>
              </w:rPr>
              <w:t>2836</w:t>
            </w:r>
          </w:p>
        </w:tc>
        <w:tc>
          <w:tcPr>
            <w:tcW w:w="1808" w:type="dxa"/>
          </w:tcPr>
          <w:p w:rsidR="00D55A71" w:rsidRPr="00193D51" w:rsidRDefault="00D55A71" w:rsidP="00C9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</w:t>
            </w:r>
          </w:p>
        </w:tc>
        <w:tc>
          <w:tcPr>
            <w:tcW w:w="1808" w:type="dxa"/>
          </w:tcPr>
          <w:p w:rsidR="00D55A71" w:rsidRPr="00193D51" w:rsidRDefault="00D55A71" w:rsidP="00C9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</w:t>
            </w:r>
          </w:p>
        </w:tc>
        <w:tc>
          <w:tcPr>
            <w:tcW w:w="951" w:type="dxa"/>
          </w:tcPr>
          <w:p w:rsidR="00D55A71" w:rsidRPr="001F6050" w:rsidRDefault="00344D8F" w:rsidP="0034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D55A71" w:rsidRPr="001F6050">
              <w:rPr>
                <w:sz w:val="24"/>
                <w:szCs w:val="24"/>
              </w:rPr>
              <w:t>%</w:t>
            </w:r>
          </w:p>
        </w:tc>
        <w:tc>
          <w:tcPr>
            <w:tcW w:w="1589" w:type="dxa"/>
          </w:tcPr>
          <w:p w:rsidR="00D55A71" w:rsidRPr="001F6050" w:rsidRDefault="00D55A71" w:rsidP="00C9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</w:tr>
      <w:tr w:rsidR="00176EA4" w:rsidRPr="001F6050" w:rsidTr="00D55A71">
        <w:tc>
          <w:tcPr>
            <w:tcW w:w="2316" w:type="dxa"/>
          </w:tcPr>
          <w:p w:rsidR="00686A92" w:rsidRPr="001F6050" w:rsidRDefault="00686A92" w:rsidP="001F6050">
            <w:pPr>
              <w:jc w:val="both"/>
              <w:rPr>
                <w:sz w:val="24"/>
                <w:szCs w:val="24"/>
                <w:lang w:eastAsia="en-US"/>
              </w:rPr>
            </w:pPr>
            <w:r w:rsidRPr="001F6050">
              <w:rPr>
                <w:sz w:val="24"/>
                <w:szCs w:val="24"/>
                <w:lang w:eastAsia="en-US"/>
              </w:rPr>
              <w:t>Количество туроператоров, зарегистрированных в Реестре</w:t>
            </w:r>
            <w:r w:rsidR="00176EA4">
              <w:rPr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991" w:type="dxa"/>
          </w:tcPr>
          <w:p w:rsidR="00686A92" w:rsidRPr="00193D51" w:rsidRDefault="00686A92" w:rsidP="00747440">
            <w:pPr>
              <w:rPr>
                <w:sz w:val="24"/>
                <w:szCs w:val="24"/>
              </w:rPr>
            </w:pPr>
            <w:r w:rsidRPr="00193D51"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686A92" w:rsidRPr="00193D51" w:rsidRDefault="00686A92" w:rsidP="00747440">
            <w:pPr>
              <w:rPr>
                <w:sz w:val="24"/>
                <w:szCs w:val="24"/>
              </w:rPr>
            </w:pPr>
            <w:r w:rsidRPr="00193D51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86A92" w:rsidRPr="00193D51" w:rsidRDefault="00686A92" w:rsidP="00747440">
            <w:pPr>
              <w:rPr>
                <w:sz w:val="24"/>
                <w:szCs w:val="24"/>
              </w:rPr>
            </w:pPr>
            <w:r w:rsidRPr="00193D51"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50%</w:t>
            </w:r>
          </w:p>
        </w:tc>
        <w:tc>
          <w:tcPr>
            <w:tcW w:w="1589" w:type="dxa"/>
          </w:tcPr>
          <w:p w:rsidR="00686A92" w:rsidRPr="001F6050" w:rsidRDefault="00157A08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</w:tc>
      </w:tr>
      <w:tr w:rsidR="00176EA4" w:rsidRPr="001F6050" w:rsidTr="00D55A71">
        <w:tc>
          <w:tcPr>
            <w:tcW w:w="2316" w:type="dxa"/>
          </w:tcPr>
          <w:p w:rsidR="00176EA4" w:rsidRPr="001F6050" w:rsidRDefault="00176EA4" w:rsidP="00176E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турагентств</w:t>
            </w:r>
            <w:r w:rsidR="00C62369">
              <w:rPr>
                <w:sz w:val="24"/>
                <w:szCs w:val="24"/>
                <w:lang w:eastAsia="en-US"/>
              </w:rPr>
              <w:t>, внесенных в Реестр</w:t>
            </w:r>
            <w:r>
              <w:rPr>
                <w:sz w:val="24"/>
                <w:szCs w:val="24"/>
                <w:lang w:eastAsia="en-US"/>
              </w:rPr>
              <w:t xml:space="preserve">, с которыми туроператорами, </w:t>
            </w:r>
            <w:r w:rsidRPr="00176EA4">
              <w:rPr>
                <w:sz w:val="24"/>
                <w:szCs w:val="24"/>
                <w:lang w:eastAsia="en-US"/>
              </w:rPr>
              <w:t>осуществляющими деятельность в сфере выездного туризма</w:t>
            </w:r>
            <w:r>
              <w:rPr>
                <w:sz w:val="24"/>
                <w:szCs w:val="24"/>
                <w:lang w:eastAsia="en-US"/>
              </w:rPr>
              <w:t xml:space="preserve">, заключены договоры </w:t>
            </w:r>
          </w:p>
        </w:tc>
        <w:tc>
          <w:tcPr>
            <w:tcW w:w="991" w:type="dxa"/>
          </w:tcPr>
          <w:p w:rsidR="00176EA4" w:rsidRPr="00193D51" w:rsidRDefault="00176EA4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176EA4" w:rsidRPr="00193D51" w:rsidRDefault="00176EA4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176EA4" w:rsidRPr="00193D51" w:rsidRDefault="00176EA4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176EA4" w:rsidRPr="001F6050" w:rsidRDefault="00176EA4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176EA4" w:rsidRDefault="001B5906" w:rsidP="0074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1,25%</w:t>
            </w:r>
          </w:p>
        </w:tc>
      </w:tr>
      <w:tr w:rsidR="00176EA4" w:rsidRPr="001F6050" w:rsidTr="00D55A71">
        <w:tc>
          <w:tcPr>
            <w:tcW w:w="2316" w:type="dxa"/>
          </w:tcPr>
          <w:p w:rsidR="00686A92" w:rsidRPr="001F6050" w:rsidRDefault="00686A92" w:rsidP="001F6050">
            <w:pPr>
              <w:jc w:val="both"/>
              <w:rPr>
                <w:sz w:val="24"/>
                <w:szCs w:val="24"/>
                <w:lang w:eastAsia="en-US"/>
              </w:rPr>
            </w:pPr>
            <w:r w:rsidRPr="001F6050">
              <w:rPr>
                <w:sz w:val="24"/>
                <w:szCs w:val="24"/>
                <w:lang w:eastAsia="en-US"/>
              </w:rPr>
              <w:t>Количество мероприятий Событийного календаря</w:t>
            </w:r>
            <w:r w:rsidR="00176EA4">
              <w:rPr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991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39</w:t>
            </w:r>
          </w:p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(запланировано на 2016 год 47)</w:t>
            </w:r>
          </w:p>
        </w:tc>
        <w:tc>
          <w:tcPr>
            <w:tcW w:w="1808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47</w:t>
            </w:r>
            <w:r w:rsidR="001B5906">
              <w:rPr>
                <w:sz w:val="24"/>
                <w:szCs w:val="24"/>
              </w:rPr>
              <w:t xml:space="preserve"> в год</w:t>
            </w:r>
          </w:p>
          <w:p w:rsidR="001B5906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(запланировано на 2017 год 71)</w:t>
            </w:r>
            <w:r w:rsidR="00F86ACC">
              <w:rPr>
                <w:sz w:val="24"/>
                <w:szCs w:val="24"/>
              </w:rPr>
              <w:t xml:space="preserve">, в </w:t>
            </w:r>
            <w:proofErr w:type="spellStart"/>
            <w:r w:rsidR="00F86ACC">
              <w:rPr>
                <w:sz w:val="24"/>
                <w:szCs w:val="24"/>
              </w:rPr>
              <w:t>т.ч</w:t>
            </w:r>
            <w:proofErr w:type="spellEnd"/>
            <w:r w:rsidR="00F86ACC">
              <w:rPr>
                <w:sz w:val="24"/>
                <w:szCs w:val="24"/>
              </w:rPr>
              <w:t>. за второе полугодие - 16</w:t>
            </w:r>
          </w:p>
        </w:tc>
        <w:tc>
          <w:tcPr>
            <w:tcW w:w="951" w:type="dxa"/>
          </w:tcPr>
          <w:p w:rsidR="00686A92" w:rsidRPr="001F6050" w:rsidRDefault="00686A92" w:rsidP="00747440">
            <w:pPr>
              <w:rPr>
                <w:sz w:val="24"/>
                <w:szCs w:val="24"/>
              </w:rPr>
            </w:pPr>
            <w:r w:rsidRPr="001F6050">
              <w:rPr>
                <w:sz w:val="24"/>
                <w:szCs w:val="24"/>
              </w:rPr>
              <w:t>120,5%</w:t>
            </w:r>
          </w:p>
        </w:tc>
        <w:tc>
          <w:tcPr>
            <w:tcW w:w="1589" w:type="dxa"/>
          </w:tcPr>
          <w:p w:rsidR="001B5906" w:rsidRDefault="001B5906" w:rsidP="001B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24,6%*</w:t>
            </w:r>
          </w:p>
          <w:p w:rsidR="001B5906" w:rsidRPr="001F6050" w:rsidRDefault="001B5906" w:rsidP="00F86ACC">
            <w:pPr>
              <w:rPr>
                <w:sz w:val="24"/>
                <w:szCs w:val="24"/>
              </w:rPr>
            </w:pPr>
          </w:p>
        </w:tc>
      </w:tr>
    </w:tbl>
    <w:p w:rsidR="001F6050" w:rsidRDefault="001B5906" w:rsidP="001B59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</w:t>
      </w:r>
      <w:r w:rsidR="00F86ACC" w:rsidRPr="00AE6208">
        <w:rPr>
          <w:lang w:eastAsia="en-US"/>
        </w:rPr>
        <w:t>началом ведения</w:t>
      </w:r>
      <w:r w:rsidRPr="00AE6208">
        <w:rPr>
          <w:lang w:eastAsia="en-US"/>
        </w:rPr>
        <w:t xml:space="preserve"> </w:t>
      </w:r>
      <w:r w:rsidR="00F86ACC" w:rsidRPr="00AE6208">
        <w:rPr>
          <w:lang w:eastAsia="en-US"/>
        </w:rPr>
        <w:t xml:space="preserve">Событийного календаря Иркутской области в 2016 году </w:t>
      </w:r>
      <w:r w:rsidRPr="00AE6208">
        <w:rPr>
          <w:lang w:eastAsia="en-US"/>
        </w:rPr>
        <w:t xml:space="preserve">начиная со второго полугодия.  </w:t>
      </w:r>
    </w:p>
    <w:p w:rsidR="00AE6208" w:rsidRPr="00AE6208" w:rsidRDefault="00AE6208" w:rsidP="001B5906">
      <w:pPr>
        <w:jc w:val="both"/>
        <w:rPr>
          <w:lang w:eastAsia="en-US"/>
        </w:rPr>
      </w:pPr>
    </w:p>
    <w:p w:rsidR="00915BAC" w:rsidRDefault="00915BAC" w:rsidP="00915BA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целях популяризации отдыха на Южном Прибайкалье, администрацией района и поселений совместно с предпринимательским сообществом при поддержке Региона</w:t>
      </w:r>
      <w:r w:rsidR="00F152DC">
        <w:rPr>
          <w:sz w:val="24"/>
          <w:szCs w:val="24"/>
          <w:lang w:eastAsia="en-US"/>
        </w:rPr>
        <w:t>льного Агентства по туризму был</w:t>
      </w:r>
      <w:r>
        <w:rPr>
          <w:sz w:val="24"/>
          <w:szCs w:val="24"/>
          <w:lang w:eastAsia="en-US"/>
        </w:rPr>
        <w:t xml:space="preserve">и проведены событийные  и  </w:t>
      </w:r>
      <w:r>
        <w:rPr>
          <w:sz w:val="24"/>
          <w:szCs w:val="24"/>
          <w:lang w:val="en-US"/>
        </w:rPr>
        <w:t>MICE</w:t>
      </w:r>
      <w:r w:rsidRPr="003471F5">
        <w:rPr>
          <w:sz w:val="24"/>
          <w:szCs w:val="24"/>
        </w:rPr>
        <w:t>- мероприятия</w:t>
      </w:r>
      <w:r>
        <w:rPr>
          <w:sz w:val="24"/>
          <w:szCs w:val="24"/>
        </w:rPr>
        <w:t xml:space="preserve"> в виде пресс-туров и рекламных туров (День Рождение Байкальского Деда Мороза, Региональный фестиваль омуля на Байкале, Открытие летнего туристск</w:t>
      </w:r>
      <w:r w:rsidR="004636ED">
        <w:rPr>
          <w:sz w:val="24"/>
          <w:szCs w:val="24"/>
        </w:rPr>
        <w:t>ого сезона на Южном Прибайкалье)</w:t>
      </w:r>
      <w:r>
        <w:rPr>
          <w:sz w:val="24"/>
          <w:szCs w:val="24"/>
        </w:rPr>
        <w:t>.</w:t>
      </w:r>
      <w:r w:rsidR="00AE6208">
        <w:rPr>
          <w:sz w:val="24"/>
          <w:szCs w:val="24"/>
        </w:rPr>
        <w:t xml:space="preserve"> Общий охват по </w:t>
      </w:r>
      <w:r w:rsidR="00191E51">
        <w:rPr>
          <w:sz w:val="24"/>
          <w:szCs w:val="24"/>
        </w:rPr>
        <w:t>указанным</w:t>
      </w:r>
      <w:r w:rsidR="00AE6208">
        <w:rPr>
          <w:sz w:val="24"/>
          <w:szCs w:val="24"/>
        </w:rPr>
        <w:t xml:space="preserve"> мероприятиям составил </w:t>
      </w:r>
      <w:r w:rsidR="00BF76C4">
        <w:rPr>
          <w:sz w:val="24"/>
          <w:szCs w:val="24"/>
        </w:rPr>
        <w:t>3130</w:t>
      </w:r>
      <w:r w:rsidR="00AE6208">
        <w:rPr>
          <w:sz w:val="24"/>
          <w:szCs w:val="24"/>
        </w:rPr>
        <w:t xml:space="preserve"> </w:t>
      </w:r>
      <w:r w:rsidR="00BF76C4">
        <w:rPr>
          <w:sz w:val="24"/>
          <w:szCs w:val="24"/>
        </w:rPr>
        <w:t>ч</w:t>
      </w:r>
      <w:r w:rsidR="00AE6208">
        <w:rPr>
          <w:sz w:val="24"/>
          <w:szCs w:val="24"/>
        </w:rPr>
        <w:t>еловек. Израсходовано средств местного бюджета по муниципальной программе</w:t>
      </w:r>
      <w:r w:rsidR="00AE6208" w:rsidRPr="003471F5">
        <w:rPr>
          <w:sz w:val="24"/>
          <w:szCs w:val="24"/>
        </w:rPr>
        <w:t xml:space="preserve"> «Поддержка приоритетных отраслей экономики муниципального образования Слюдянский</w:t>
      </w:r>
      <w:r w:rsidR="00AE6208">
        <w:rPr>
          <w:sz w:val="24"/>
          <w:szCs w:val="24"/>
        </w:rPr>
        <w:t xml:space="preserve"> район на 2014-2019 гг.» </w:t>
      </w:r>
      <w:r w:rsidR="00481803">
        <w:rPr>
          <w:sz w:val="24"/>
          <w:szCs w:val="24"/>
        </w:rPr>
        <w:t>20</w:t>
      </w:r>
      <w:r w:rsidR="00BF76C4">
        <w:rPr>
          <w:sz w:val="24"/>
          <w:szCs w:val="24"/>
        </w:rPr>
        <w:t xml:space="preserve"> </w:t>
      </w:r>
      <w:r w:rsidR="00BF76C4" w:rsidRPr="000E571C">
        <w:rPr>
          <w:sz w:val="24"/>
          <w:szCs w:val="24"/>
        </w:rPr>
        <w:t xml:space="preserve">тыс. рублей, средств бюджета поселений 70 тыс. рублей, средств областного бюджета </w:t>
      </w:r>
      <w:r w:rsidR="000E571C" w:rsidRPr="000E571C">
        <w:rPr>
          <w:sz w:val="24"/>
          <w:szCs w:val="24"/>
        </w:rPr>
        <w:t>209,109</w:t>
      </w:r>
      <w:r w:rsidR="00BF76C4" w:rsidRPr="000E571C">
        <w:rPr>
          <w:sz w:val="24"/>
          <w:szCs w:val="24"/>
        </w:rPr>
        <w:t xml:space="preserve"> тыс.</w:t>
      </w:r>
      <w:r w:rsidR="007C228B">
        <w:rPr>
          <w:sz w:val="24"/>
          <w:szCs w:val="24"/>
        </w:rPr>
        <w:t xml:space="preserve"> </w:t>
      </w:r>
      <w:r w:rsidR="00BF76C4" w:rsidRPr="000E571C">
        <w:rPr>
          <w:sz w:val="24"/>
          <w:szCs w:val="24"/>
        </w:rPr>
        <w:t>рублей,</w:t>
      </w:r>
      <w:r w:rsidR="00BF76C4">
        <w:rPr>
          <w:sz w:val="24"/>
          <w:szCs w:val="24"/>
        </w:rPr>
        <w:t xml:space="preserve"> собственных сре</w:t>
      </w:r>
      <w:proofErr w:type="gramStart"/>
      <w:r w:rsidR="00BF76C4">
        <w:rPr>
          <w:sz w:val="24"/>
          <w:szCs w:val="24"/>
        </w:rPr>
        <w:t>дств пр</w:t>
      </w:r>
      <w:proofErr w:type="gramEnd"/>
      <w:r w:rsidR="00BF76C4">
        <w:rPr>
          <w:sz w:val="24"/>
          <w:szCs w:val="24"/>
        </w:rPr>
        <w:t>едпринимателей 85 тыс. рублей.</w:t>
      </w:r>
    </w:p>
    <w:p w:rsidR="003471F5" w:rsidRPr="003471F5" w:rsidRDefault="00152536" w:rsidP="00152536">
      <w:pPr>
        <w:pStyle w:val="a3"/>
        <w:tabs>
          <w:tab w:val="left" w:pos="708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91E51">
        <w:rPr>
          <w:sz w:val="24"/>
          <w:szCs w:val="24"/>
        </w:rPr>
        <w:t xml:space="preserve"> рамках </w:t>
      </w:r>
      <w:r w:rsidR="003471F5" w:rsidRPr="003471F5">
        <w:rPr>
          <w:sz w:val="24"/>
          <w:szCs w:val="24"/>
        </w:rPr>
        <w:t xml:space="preserve">заседаний рабочей группы по туризму, был составлен и принят Событийный календарь Слюдянского района на 2017 год, 60% мероприятий которого (44 из 72), внесены в Региональный Событийный календарь (44 мероприятия Слюдянского района из 124 мероприятий Иркутской области).  </w:t>
      </w:r>
    </w:p>
    <w:p w:rsidR="003471F5" w:rsidRDefault="00152536" w:rsidP="001525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762CBB" w:rsidRPr="00152536" w:rsidRDefault="00ED58D8" w:rsidP="00ED58D8">
      <w:pPr>
        <w:ind w:firstLine="567"/>
        <w:jc w:val="both"/>
        <w:rPr>
          <w:sz w:val="24"/>
          <w:szCs w:val="24"/>
        </w:rPr>
      </w:pPr>
      <w:r w:rsidRPr="00ED58D8">
        <w:rPr>
          <w:sz w:val="24"/>
          <w:szCs w:val="24"/>
        </w:rPr>
        <w:t xml:space="preserve">В </w:t>
      </w:r>
      <w:r>
        <w:rPr>
          <w:sz w:val="24"/>
          <w:szCs w:val="24"/>
        </w:rPr>
        <w:t>текущем и следующем году будет продолжена работа над вхождением в различные федеральные проекты по созданию необходимой инфраструктуры</w:t>
      </w:r>
      <w:r w:rsidRPr="00ED58D8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перераспределению потоков</w:t>
      </w:r>
      <w:r w:rsidRPr="00ED58D8">
        <w:rPr>
          <w:sz w:val="24"/>
          <w:szCs w:val="24"/>
        </w:rPr>
        <w:t xml:space="preserve"> людей в нужном направлении, организ</w:t>
      </w:r>
      <w:r>
        <w:rPr>
          <w:sz w:val="24"/>
          <w:szCs w:val="24"/>
        </w:rPr>
        <w:t>ации</w:t>
      </w:r>
      <w:r w:rsidRPr="00ED58D8">
        <w:rPr>
          <w:sz w:val="24"/>
          <w:szCs w:val="24"/>
        </w:rPr>
        <w:t xml:space="preserve"> их досуг</w:t>
      </w:r>
      <w:r>
        <w:rPr>
          <w:sz w:val="24"/>
          <w:szCs w:val="24"/>
        </w:rPr>
        <w:t>а и минимизации</w:t>
      </w:r>
      <w:r w:rsidRPr="00ED58D8">
        <w:rPr>
          <w:sz w:val="24"/>
          <w:szCs w:val="24"/>
        </w:rPr>
        <w:t xml:space="preserve"> </w:t>
      </w:r>
      <w:r>
        <w:rPr>
          <w:sz w:val="24"/>
          <w:szCs w:val="24"/>
        </w:rPr>
        <w:t>нанесения</w:t>
      </w:r>
      <w:r w:rsidRPr="00ED58D8">
        <w:rPr>
          <w:sz w:val="24"/>
          <w:szCs w:val="24"/>
        </w:rPr>
        <w:t xml:space="preserve"> вред</w:t>
      </w:r>
      <w:r>
        <w:rPr>
          <w:sz w:val="24"/>
          <w:szCs w:val="24"/>
        </w:rPr>
        <w:t>а о</w:t>
      </w:r>
      <w:r w:rsidRPr="00ED58D8">
        <w:rPr>
          <w:sz w:val="24"/>
          <w:szCs w:val="24"/>
        </w:rPr>
        <w:t>зеру неорганизованным туризмом.</w:t>
      </w:r>
    </w:p>
    <w:sectPr w:rsidR="00762CBB" w:rsidRPr="0015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6B8"/>
    <w:multiLevelType w:val="hybridMultilevel"/>
    <w:tmpl w:val="3E6E937A"/>
    <w:lvl w:ilvl="0" w:tplc="658AF150">
      <w:start w:val="4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262307"/>
    <w:multiLevelType w:val="hybridMultilevel"/>
    <w:tmpl w:val="4AD8A7D8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F5"/>
    <w:rsid w:val="00026457"/>
    <w:rsid w:val="00032701"/>
    <w:rsid w:val="00055750"/>
    <w:rsid w:val="0007433B"/>
    <w:rsid w:val="0007515A"/>
    <w:rsid w:val="000A140A"/>
    <w:rsid w:val="000B26A9"/>
    <w:rsid w:val="000E571C"/>
    <w:rsid w:val="00103D26"/>
    <w:rsid w:val="00152536"/>
    <w:rsid w:val="00157A08"/>
    <w:rsid w:val="00176EA4"/>
    <w:rsid w:val="00191E51"/>
    <w:rsid w:val="00193D51"/>
    <w:rsid w:val="001B5906"/>
    <w:rsid w:val="001F6050"/>
    <w:rsid w:val="0022542F"/>
    <w:rsid w:val="00232ED1"/>
    <w:rsid w:val="00245C5C"/>
    <w:rsid w:val="002A18AE"/>
    <w:rsid w:val="002D2CFD"/>
    <w:rsid w:val="0031110E"/>
    <w:rsid w:val="00335307"/>
    <w:rsid w:val="00344A96"/>
    <w:rsid w:val="00344D8F"/>
    <w:rsid w:val="003471F5"/>
    <w:rsid w:val="00361AE5"/>
    <w:rsid w:val="00363A8B"/>
    <w:rsid w:val="003741E3"/>
    <w:rsid w:val="003933F4"/>
    <w:rsid w:val="003C5308"/>
    <w:rsid w:val="003F1F43"/>
    <w:rsid w:val="004037F4"/>
    <w:rsid w:val="00430308"/>
    <w:rsid w:val="004636ED"/>
    <w:rsid w:val="00463FF5"/>
    <w:rsid w:val="00481803"/>
    <w:rsid w:val="00492AE2"/>
    <w:rsid w:val="004B45CB"/>
    <w:rsid w:val="00501043"/>
    <w:rsid w:val="00535B56"/>
    <w:rsid w:val="00542F64"/>
    <w:rsid w:val="00547DF3"/>
    <w:rsid w:val="005B42A4"/>
    <w:rsid w:val="005C7703"/>
    <w:rsid w:val="005E2441"/>
    <w:rsid w:val="005F31FB"/>
    <w:rsid w:val="00613F57"/>
    <w:rsid w:val="006312BA"/>
    <w:rsid w:val="00670042"/>
    <w:rsid w:val="00686A92"/>
    <w:rsid w:val="006922A3"/>
    <w:rsid w:val="006E4818"/>
    <w:rsid w:val="00701C03"/>
    <w:rsid w:val="0070345F"/>
    <w:rsid w:val="00714CE8"/>
    <w:rsid w:val="00723EDB"/>
    <w:rsid w:val="00751AB6"/>
    <w:rsid w:val="00762CBB"/>
    <w:rsid w:val="0078555D"/>
    <w:rsid w:val="00790465"/>
    <w:rsid w:val="007B4FC9"/>
    <w:rsid w:val="007C228B"/>
    <w:rsid w:val="00864B9F"/>
    <w:rsid w:val="00867F3E"/>
    <w:rsid w:val="00872235"/>
    <w:rsid w:val="00893E2C"/>
    <w:rsid w:val="00901509"/>
    <w:rsid w:val="00915BAC"/>
    <w:rsid w:val="00922681"/>
    <w:rsid w:val="00A024C7"/>
    <w:rsid w:val="00A23202"/>
    <w:rsid w:val="00A85D49"/>
    <w:rsid w:val="00AB4964"/>
    <w:rsid w:val="00AE6208"/>
    <w:rsid w:val="00B15351"/>
    <w:rsid w:val="00B64E62"/>
    <w:rsid w:val="00B6561E"/>
    <w:rsid w:val="00B75329"/>
    <w:rsid w:val="00BF76C4"/>
    <w:rsid w:val="00C1601C"/>
    <w:rsid w:val="00C33D1F"/>
    <w:rsid w:val="00C51455"/>
    <w:rsid w:val="00C614F2"/>
    <w:rsid w:val="00C62369"/>
    <w:rsid w:val="00C62EBB"/>
    <w:rsid w:val="00C877B7"/>
    <w:rsid w:val="00C90C41"/>
    <w:rsid w:val="00CA2AAC"/>
    <w:rsid w:val="00CB6206"/>
    <w:rsid w:val="00CF27D2"/>
    <w:rsid w:val="00D55A71"/>
    <w:rsid w:val="00DB6250"/>
    <w:rsid w:val="00E06514"/>
    <w:rsid w:val="00EC0245"/>
    <w:rsid w:val="00ED48D0"/>
    <w:rsid w:val="00ED58D8"/>
    <w:rsid w:val="00F152DC"/>
    <w:rsid w:val="00F20ED9"/>
    <w:rsid w:val="00F601DD"/>
    <w:rsid w:val="00F73EE9"/>
    <w:rsid w:val="00F778D3"/>
    <w:rsid w:val="00F86ACC"/>
    <w:rsid w:val="00FA22A4"/>
    <w:rsid w:val="00FD0A26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71F5"/>
    <w:pPr>
      <w:spacing w:after="120"/>
    </w:pPr>
  </w:style>
  <w:style w:type="character" w:customStyle="1" w:styleId="a4">
    <w:name w:val="Основной текст Знак"/>
    <w:basedOn w:val="a0"/>
    <w:link w:val="a3"/>
    <w:rsid w:val="00347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347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471F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3471F5"/>
    <w:pPr>
      <w:spacing w:after="0" w:line="240" w:lineRule="auto"/>
    </w:pPr>
    <w:rPr>
      <w:rFonts w:ascii="Calibri" w:eastAsia="Calibri" w:hAnsi="Calibri" w:cs="Times New Roman"/>
    </w:rPr>
  </w:style>
  <w:style w:type="table" w:styleId="2-5">
    <w:name w:val="Medium Shading 2 Accent 5"/>
    <w:basedOn w:val="a1"/>
    <w:uiPriority w:val="64"/>
    <w:rsid w:val="003471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63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535B56"/>
    <w:pPr>
      <w:spacing w:after="200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1F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5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71F5"/>
    <w:pPr>
      <w:spacing w:after="120"/>
    </w:pPr>
  </w:style>
  <w:style w:type="character" w:customStyle="1" w:styleId="a4">
    <w:name w:val="Основной текст Знак"/>
    <w:basedOn w:val="a0"/>
    <w:link w:val="a3"/>
    <w:rsid w:val="00347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347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471F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3471F5"/>
    <w:pPr>
      <w:spacing w:after="0" w:line="240" w:lineRule="auto"/>
    </w:pPr>
    <w:rPr>
      <w:rFonts w:ascii="Calibri" w:eastAsia="Calibri" w:hAnsi="Calibri" w:cs="Times New Roman"/>
    </w:rPr>
  </w:style>
  <w:style w:type="table" w:styleId="2-5">
    <w:name w:val="Medium Shading 2 Accent 5"/>
    <w:basedOn w:val="a1"/>
    <w:uiPriority w:val="64"/>
    <w:rsid w:val="003471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63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535B56"/>
    <w:pPr>
      <w:spacing w:after="200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1F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(точкам притяжения)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24626171728533933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123.852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45.8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70049536"/>
        <c:axId val="170051072"/>
        <c:axId val="0"/>
      </c:bar3DChart>
      <c:catAx>
        <c:axId val="170049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0051072"/>
        <c:crosses val="autoZero"/>
        <c:auto val="0"/>
        <c:lblAlgn val="ctr"/>
        <c:lblOffset val="10"/>
        <c:tickLblSkip val="1"/>
        <c:noMultiLvlLbl val="0"/>
      </c:catAx>
      <c:valAx>
        <c:axId val="170051072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17004953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Салдушева Анастасия Валерьевна</cp:lastModifiedBy>
  <cp:revision>71</cp:revision>
  <cp:lastPrinted>2017-03-27T02:11:00Z</cp:lastPrinted>
  <dcterms:created xsi:type="dcterms:W3CDTF">2017-02-27T01:42:00Z</dcterms:created>
  <dcterms:modified xsi:type="dcterms:W3CDTF">2018-05-11T07:41:00Z</dcterms:modified>
</cp:coreProperties>
</file>