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сферы туризма за 2019 год характеризуется следующими итогами.</w:t>
      </w: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801" w:rsidRPr="00393EBF" w:rsidSect="009160DE">
          <w:footerReference w:type="default" r:id="rId5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9072A8B" wp14:editId="12F7EED7">
            <wp:extent cx="2664069" cy="1978269"/>
            <wp:effectExtent l="0" t="0" r="22225" b="2222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801" w:rsidRPr="00393EBF" w:rsidSect="009160DE">
          <w:type w:val="continuous"/>
          <w:pgSz w:w="11906" w:h="16838"/>
          <w:pgMar w:top="1134" w:right="850" w:bottom="1134" w:left="1701" w:header="708" w:footer="708" w:gutter="0"/>
          <w:cols w:num="2" w:space="3"/>
          <w:docGrid w:linePitch="360"/>
        </w:sect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2019 году на территории района работали 37 коллективных средств размещения с единовременной вместимостью 2 688 человек из 43 действующих КСР, вместимость которых составила 2 827 человек. Количество КСР уменьшилось по сравнению с 2018 годом в связи с проведенными проверками Байкальской природоохранной прокуратуры о соблюдении природоохранного законодательства.</w:t>
      </w:r>
    </w:p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Несмотря на усложнившуюся ситуацию, связанную с проверками бизнеса, анализ туристского потока по экспертным данным показал, умеренный рост прибытий в 106% с  254 093 человек в 2018 году до 269 492 человек в 2019 году, из них количество туристов, прибывших на территорию района на «дикий» отдых или с 1-дневным пребыванием, в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событийные мероприятия, горнолыжный курорт и КБЖД составило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222 695 человек, 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46 797 человек, что составляет 17,4% от числа всех прибывших туристов на территорию. </w:t>
      </w:r>
    </w:p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4C926780" wp14:editId="27997896">
            <wp:simplePos x="0" y="0"/>
            <wp:positionH relativeFrom="column">
              <wp:posOffset>3577590</wp:posOffset>
            </wp:positionH>
            <wp:positionV relativeFrom="paragraph">
              <wp:posOffset>30480</wp:posOffset>
            </wp:positionV>
            <wp:extent cx="2381250" cy="2638425"/>
            <wp:effectExtent l="0" t="0" r="19050" b="9525"/>
            <wp:wrapThrough wrapText="bothSides">
              <wp:wrapPolygon edited="0">
                <wp:start x="0" y="0"/>
                <wp:lineTo x="0" y="21522"/>
                <wp:lineTo x="21600" y="21522"/>
                <wp:lineTo x="21600" y="0"/>
                <wp:lineTo x="0" y="0"/>
              </wp:wrapPolygon>
            </wp:wrapThrough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 поток туристов генерируется в зимний период  горнолыжным курортом гора Соболиная, в летний период 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Кругобайкальской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Хамар-Дабана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событийные площадки, несмотря на то, что поток 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туристов, посетивших событийные мероприятия в 2019 году вырос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2,8 раза по сравнению с прошлым годом.</w:t>
      </w:r>
    </w:p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разрезе сезонного анализа туристского потока, наибольшее количество прибытий было зафиксировано в июле (17,89%), январе (13,53%), марте (13,03%), августе (11,33%), июне (10,67%), декабре (8,41%). Мертвым сезоном стали май (1,06%) и ноябрь (1,13%). Таким образом, туристские прибытия распределены наибольшим образом в летний и зимний периоды с наибольшим уклоном в первую половину года.  </w:t>
      </w:r>
    </w:p>
    <w:p w:rsidR="00862801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5B3D939" wp14:editId="1FA14B88">
            <wp:simplePos x="0" y="0"/>
            <wp:positionH relativeFrom="column">
              <wp:posOffset>-3810</wp:posOffset>
            </wp:positionH>
            <wp:positionV relativeFrom="paragraph">
              <wp:posOffset>156845</wp:posOffset>
            </wp:positionV>
            <wp:extent cx="3819525" cy="2886075"/>
            <wp:effectExtent l="0" t="0" r="0" b="0"/>
            <wp:wrapSquare wrapText="bothSides"/>
            <wp:docPr id="106" name="Диаграмма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801" w:rsidRPr="00393EBF" w:rsidRDefault="00862801" w:rsidP="00862801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туристского потока Южного Прибайкалья в 2019 году составляет в объеме туристского потока Иркутской области 15,6%.</w:t>
      </w: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предоставленных платных услуг по оценочным данным в туристско-рекреационной сфере в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 составил  355,6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311,9 млн. руб. 2018 года (что составляет </w:t>
      </w: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5% аналогичного объема Иркутской области).</w:t>
      </w: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801" w:rsidRPr="00393EBF" w:rsidSect="009160DE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862801" w:rsidRPr="00393EBF" w:rsidRDefault="00862801" w:rsidP="0086280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DB627F" wp14:editId="405E5D8E">
            <wp:extent cx="5776546" cy="2118946"/>
            <wp:effectExtent l="0" t="0" r="15240" b="1524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2801" w:rsidRPr="00393EBF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62801" w:rsidRPr="00393EBF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осуществляют свою деятельность 5 туроператоров, зарегистрированных в установленном законом порядке (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</w:t>
      </w:r>
      <w:proofErr w:type="gram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кология.Туризм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Байкальская сказка, Аккорд,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Диалан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Байкал, БГК Гора Соболиная).</w:t>
      </w:r>
    </w:p>
    <w:p w:rsidR="00862801" w:rsidRPr="00393EBF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1" w:rsidRPr="00393EBF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развития туристской деятельности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пятилетний период (2015-2019 годы)</w:t>
      </w: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 xml:space="preserve">Показатель 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2015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2016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2017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t>2018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2019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Темп роста 2019 к 2018 г., %</w:t>
            </w:r>
          </w:p>
        </w:tc>
        <w:tc>
          <w:tcPr>
            <w:tcW w:w="1277" w:type="dxa"/>
          </w:tcPr>
          <w:p w:rsidR="00862801" w:rsidRPr="00393EBF" w:rsidRDefault="00862801" w:rsidP="00D97B86">
            <w:r w:rsidRPr="00393EBF">
              <w:t xml:space="preserve">Доля показателей </w:t>
            </w:r>
            <w:proofErr w:type="spellStart"/>
            <w:r w:rsidRPr="00393EBF">
              <w:t>Слюдянского</w:t>
            </w:r>
            <w:proofErr w:type="spellEnd"/>
            <w:r w:rsidRPr="00393EBF">
              <w:t xml:space="preserve"> района в показателях Иркутской области за 2019 г.,%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 xml:space="preserve">Туристский поток, </w:t>
            </w:r>
            <w:proofErr w:type="spellStart"/>
            <w:r w:rsidRPr="00393EBF">
              <w:t>тыс</w:t>
            </w:r>
            <w:proofErr w:type="gramStart"/>
            <w:r w:rsidRPr="00393EBF">
              <w:t>.ч</w:t>
            </w:r>
            <w:proofErr w:type="gramEnd"/>
            <w:r w:rsidRPr="00393EBF">
              <w:t>ел</w:t>
            </w:r>
            <w:proofErr w:type="spellEnd"/>
            <w:r w:rsidRPr="00393EBF">
              <w:t>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217,94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249,597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231,081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rPr>
                <w:lang w:val="en-US"/>
              </w:rPr>
              <w:t>254</w:t>
            </w:r>
            <w:r w:rsidRPr="00393EBF">
              <w:t>,</w:t>
            </w:r>
            <w:r w:rsidRPr="00393EBF">
              <w:rPr>
                <w:lang w:val="en-US"/>
              </w:rPr>
              <w:t>09</w:t>
            </w:r>
          </w:p>
        </w:tc>
        <w:tc>
          <w:tcPr>
            <w:tcW w:w="991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t>2</w:t>
            </w:r>
            <w:r w:rsidRPr="00393EBF">
              <w:rPr>
                <w:lang w:val="en-US"/>
              </w:rPr>
              <w:t>69</w:t>
            </w:r>
            <w:r w:rsidRPr="00393EBF">
              <w:t>,</w:t>
            </w:r>
            <w:r w:rsidRPr="00393EBF">
              <w:rPr>
                <w:lang w:val="en-US"/>
              </w:rPr>
              <w:t>492</w:t>
            </w:r>
          </w:p>
        </w:tc>
        <w:tc>
          <w:tcPr>
            <w:tcW w:w="991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rPr>
                <w:lang w:val="en-US"/>
              </w:rPr>
              <w:t>106</w:t>
            </w:r>
          </w:p>
        </w:tc>
        <w:tc>
          <w:tcPr>
            <w:tcW w:w="1277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t>1</w:t>
            </w:r>
            <w:r w:rsidRPr="00393EBF">
              <w:rPr>
                <w:lang w:val="en-US"/>
              </w:rPr>
              <w:t>5</w:t>
            </w:r>
            <w:r w:rsidRPr="00393EBF">
              <w:t>,</w:t>
            </w:r>
            <w:r w:rsidRPr="00393EBF">
              <w:rPr>
                <w:lang w:val="en-US"/>
              </w:rPr>
              <w:t>6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 xml:space="preserve">Объем туристских услуг, </w:t>
            </w:r>
            <w:proofErr w:type="spellStart"/>
            <w:r w:rsidRPr="00393EBF">
              <w:t>млн</w:t>
            </w:r>
            <w:proofErr w:type="gramStart"/>
            <w:r w:rsidRPr="00393EBF">
              <w:t>.р</w:t>
            </w:r>
            <w:proofErr w:type="gramEnd"/>
            <w:r w:rsidRPr="00393EBF">
              <w:t>уб</w:t>
            </w:r>
            <w:proofErr w:type="spellEnd"/>
            <w:r w:rsidRPr="00393EBF">
              <w:t>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237,2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300,1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308,9</w:t>
            </w:r>
          </w:p>
        </w:tc>
        <w:tc>
          <w:tcPr>
            <w:tcW w:w="852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t>311,9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355,6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114</w:t>
            </w:r>
          </w:p>
        </w:tc>
        <w:tc>
          <w:tcPr>
            <w:tcW w:w="1277" w:type="dxa"/>
          </w:tcPr>
          <w:p w:rsidR="00862801" w:rsidRPr="00393EBF" w:rsidRDefault="00862801" w:rsidP="00D97B86">
            <w:pPr>
              <w:rPr>
                <w:highlight w:val="yellow"/>
              </w:rPr>
            </w:pPr>
            <w:r w:rsidRPr="00393EBF">
              <w:t>5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>Количество КСР, ед.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42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43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44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t>49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43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87,7</w:t>
            </w:r>
          </w:p>
        </w:tc>
        <w:tc>
          <w:tcPr>
            <w:tcW w:w="1277" w:type="dxa"/>
          </w:tcPr>
          <w:p w:rsidR="00862801" w:rsidRPr="00393EBF" w:rsidRDefault="00862801" w:rsidP="00D97B86">
            <w:pPr>
              <w:rPr>
                <w:highlight w:val="yellow"/>
              </w:rPr>
            </w:pPr>
            <w:r w:rsidRPr="00393EBF">
              <w:t>8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>Количество койко-мест, ед.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2831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3259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2963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t>2810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2827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100,6</w:t>
            </w:r>
          </w:p>
        </w:tc>
        <w:tc>
          <w:tcPr>
            <w:tcW w:w="1277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t>н/д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6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3</w:t>
            </w:r>
          </w:p>
        </w:tc>
        <w:tc>
          <w:tcPr>
            <w:tcW w:w="991" w:type="dxa"/>
            <w:shd w:val="clear" w:color="auto" w:fill="auto"/>
          </w:tcPr>
          <w:p w:rsidR="00862801" w:rsidRPr="00393EBF" w:rsidRDefault="00862801" w:rsidP="00D97B86">
            <w:r w:rsidRPr="00393EBF">
              <w:t>6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t>7</w:t>
            </w:r>
          </w:p>
        </w:tc>
        <w:tc>
          <w:tcPr>
            <w:tcW w:w="991" w:type="dxa"/>
          </w:tcPr>
          <w:p w:rsidR="00862801" w:rsidRPr="00393EBF" w:rsidRDefault="00862801" w:rsidP="00D97B86">
            <w:pPr>
              <w:rPr>
                <w:lang w:val="en-US"/>
              </w:rPr>
            </w:pPr>
            <w:r w:rsidRPr="00393EBF">
              <w:rPr>
                <w:lang w:val="en-US"/>
              </w:rPr>
              <w:t>5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rPr>
                <w:lang w:val="en-US"/>
              </w:rPr>
              <w:t>71</w:t>
            </w:r>
            <w:r w:rsidRPr="00393EBF">
              <w:t>,4</w:t>
            </w:r>
          </w:p>
        </w:tc>
        <w:tc>
          <w:tcPr>
            <w:tcW w:w="1277" w:type="dxa"/>
          </w:tcPr>
          <w:p w:rsidR="00862801" w:rsidRPr="00393EBF" w:rsidRDefault="00862801" w:rsidP="00D97B86">
            <w:r w:rsidRPr="00393EBF">
              <w:t>3,7</w:t>
            </w:r>
          </w:p>
        </w:tc>
      </w:tr>
      <w:tr w:rsidR="00862801" w:rsidRPr="00393EBF" w:rsidTr="00D97B86">
        <w:tc>
          <w:tcPr>
            <w:tcW w:w="2802" w:type="dxa"/>
          </w:tcPr>
          <w:p w:rsidR="00862801" w:rsidRPr="00393EBF" w:rsidRDefault="00862801" w:rsidP="00D97B86">
            <w:pPr>
              <w:jc w:val="both"/>
            </w:pPr>
            <w:r w:rsidRPr="00393EBF"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862801" w:rsidRPr="00393EBF" w:rsidRDefault="00862801" w:rsidP="00D97B86">
            <w:r w:rsidRPr="00393EBF">
              <w:t>39</w:t>
            </w:r>
          </w:p>
        </w:tc>
        <w:tc>
          <w:tcPr>
            <w:tcW w:w="992" w:type="dxa"/>
          </w:tcPr>
          <w:p w:rsidR="00862801" w:rsidRPr="00393EBF" w:rsidRDefault="00862801" w:rsidP="00D97B86">
            <w:r w:rsidRPr="00393EBF">
              <w:t>47</w:t>
            </w:r>
          </w:p>
          <w:p w:rsidR="00862801" w:rsidRPr="00393EBF" w:rsidRDefault="00862801" w:rsidP="00D97B86"/>
        </w:tc>
        <w:tc>
          <w:tcPr>
            <w:tcW w:w="991" w:type="dxa"/>
          </w:tcPr>
          <w:p w:rsidR="00862801" w:rsidRPr="00393EBF" w:rsidRDefault="00862801" w:rsidP="00D97B86">
            <w:r w:rsidRPr="00393EBF">
              <w:t>71</w:t>
            </w:r>
          </w:p>
        </w:tc>
        <w:tc>
          <w:tcPr>
            <w:tcW w:w="852" w:type="dxa"/>
          </w:tcPr>
          <w:p w:rsidR="00862801" w:rsidRPr="00393EBF" w:rsidRDefault="00862801" w:rsidP="00D97B86">
            <w:r w:rsidRPr="00393EBF">
              <w:t>76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60</w:t>
            </w:r>
          </w:p>
        </w:tc>
        <w:tc>
          <w:tcPr>
            <w:tcW w:w="991" w:type="dxa"/>
          </w:tcPr>
          <w:p w:rsidR="00862801" w:rsidRPr="00393EBF" w:rsidRDefault="00862801" w:rsidP="00D97B86">
            <w:r w:rsidRPr="00393EBF">
              <w:t>80</w:t>
            </w:r>
          </w:p>
        </w:tc>
        <w:tc>
          <w:tcPr>
            <w:tcW w:w="1277" w:type="dxa"/>
          </w:tcPr>
          <w:p w:rsidR="00862801" w:rsidRPr="00393EBF" w:rsidRDefault="00862801" w:rsidP="00D97B86">
            <w:r w:rsidRPr="00393EBF">
              <w:t>26,8</w:t>
            </w:r>
          </w:p>
          <w:p w:rsidR="00862801" w:rsidRPr="00393EBF" w:rsidRDefault="00862801" w:rsidP="00D97B86">
            <w:r w:rsidRPr="00393EBF">
              <w:t>(33 из 123)</w:t>
            </w:r>
          </w:p>
        </w:tc>
      </w:tr>
    </w:tbl>
    <w:p w:rsidR="00862801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на территории </w:t>
      </w:r>
      <w:proofErr w:type="spellStart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393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продолжает функционировать особая экономическая зона туристско-рекреационного типа  «Ворота Байкала», предназначенная для развития на её территории туристской инфраструктуры. Здесь действует особый режим предпринимательской деятельности, который предусматривает освобождение резидентов ОЭЗ от земельного и имущественного налогов и снижение налога на прибыль. Подробный отчет о деятельности ОЭЗ представлен в разделе «Инвестиции».</w:t>
      </w:r>
    </w:p>
    <w:p w:rsidR="00862801" w:rsidRPr="00862801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ПЕРСПЕКТИВУ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одним из стратегических направлений и перспективной отраслью для развития и уже начинающим набирать свои обороты является туристско-рекреационный отраслевой комплекс.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</w:t>
      </w:r>
      <w:bookmarkStart w:id="0" w:name="_GoBack"/>
      <w:bookmarkEnd w:id="0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позиционирует себя как территория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спортивный, активный, событийный, гастрономический), причем в целях соблюдения экологического и экономического 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баланса, предполагается развитие преимущественно  экологического маршрутного туризма.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туристической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центральной экологической зоны Байкальской природной территории (далее – ЦЭЗ БПТ) предопределяет перестроение практически всей системы развития туристско-рекреационного комплекса.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упорядочения хозяйственной деятельности в ЦЭЗ БПТ, являющейся наиболее привлекательной для развития туризма, в отчетном году администрацией района завершена активная совместная работа с Агентством по туризму Иркутской области по разработке Правил организации туризма и отдыха в центральной экологической зоне Байкальской природной территории в Иркутской области (далее – Правила), которые  были приняты постановлением Правительства Иркутской области от 19 сентября 2019 года № 777-пп. </w:t>
      </w:r>
      <w:proofErr w:type="gramEnd"/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устанавливают принципы, направления, экологические и иные требования к организации туризма и отдыха в ЦЭЗ БПТ, а также предусматривают зонирование территории путем выделения туристско-рекреационных зон.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разработаны с целью соблюдения предельно допустимых нагрузок на окружающую среду на основании критериев, предложенных Байкальской межрегиональной природоохранной прокуратурой, и с использованием данных Института географии им. В.Б.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Сочавы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наук, полученных в рамках выполнения научно-исследовательской работы «Расчет норм рекреационной нагрузки для организованного и неорганизованного отдыха ЦЭЗ БПТ Иркутской области».</w:t>
      </w:r>
      <w:proofErr w:type="gramEnd"/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Правилам,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определены 5 туристско-рекреационных зон (дале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ТРЗ), общей площадью 11,718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1,85% от всей площади района):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Култукско-Слюдянская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-Байкальская,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Муринско-Снежнинская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определением для каждой преимущественной туристской специализации, единовременной рекреационной нагрузки и потенциала размещения туристов и отдыхающих.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чем, развитие туризма 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предполагается осуществлять в рамках выделенных туристско-рекреационных зон под брендом «Южное Прибайкалье».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2019 году проводилась работа по созданию концепции для  развития каждой  ТРЗ, включающих в себя несколько локаций, имеющих свои функции, позиционирование и ключевые проект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притяжения туристов.</w:t>
      </w:r>
    </w:p>
    <w:p w:rsidR="00862801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1" w:rsidRPr="008C4784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ТРЗ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Култукско-Слюдянская</w:t>
      </w:r>
      <w:proofErr w:type="spellEnd"/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ТРЗ включает в себя территорию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образований, и представляет «входные ворота» ввиду наличия различного рода транспортных артерий.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Култук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позиционируется как «деревня-привал».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«Деревня-привал» - это одна из подкатегорий проекта «Самые красивые деревни России и мира», главной целью которой является создание благоприятных условий для отдыха и кратковременного развлечения туристов, следующих по маршрутам между самыми красивыми деревнями России, а также по маршруту «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Tour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de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Baikal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разработанного Ассоциацией «Самые красивые деревни России», Федерацией «Самые красивые деревни мира» и сообществом «Краеведы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Приангарья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в 2019 году в рамках экспедиции было проведено обследование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Култук и направлена заявка в Ассоциацию для присвоения поселку данного статуса «деревня-привал», поскольку он отвечает всем требованиям проекта: наличие на территории поселения основной туристкой инфраструктуры (размещение, питание, объекты придорожного сервиса),  а также достопримечательностей, таких как – объект всемирного наследия - озеро Байкал, памятник – стела КБЖД, мыс Шаманский, эко тропы объекты православного туризма.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локации предполагается развитие ряда проектов.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«Великий чайный путь» - историко-познавательный маршрут большого международного проекта. В России «Чайный путь» начинался в городе Ухань и разделялся на несколько сухопутных и водных маршрутов, которые проходили через более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150 городов трех стран. 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Слюдянском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он проходил по таким крупным трактам как – Екатерининский,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Кругоморский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Игумновский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также связан с развитием гастрономического туризма в рамках проекта «Вкусная карта России», на которую нанесен бренд Иркутской области – «Ягодный пирог и чай с кедровым молочком», являвшиеся традиционными яствами, готовящимися нашими предками еще 370 лет назад. Данный проект охватывает все локации и может также быть реализован на любой территории Южного Прибайкалья и в целом Иркутской области, дополняя собой любой другой территориальный проект. 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еждународный  туристический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экопроект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«Байкал-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развитию автомобильного и маршрутного туризма. Этот масштабный проект был запущен в 2019 году по намерениям четырех сторон –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Республики Бурятия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Хубсугульского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аймака Монголии. Автомобильный туристический маршрут по федеральной трассе А-333 длинной в 230 км позволит туристам в процессе поездки познакомиться с тремя разными культурами (российской, бурятской и монгольской), узнать их обычаи и попробовать гастрономические изыски, пользуясь во время поездки услугами придорожных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автокомплексов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гостиниц, объектами общественного питания.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развития активного (маршрутного) туризма в проекте «Байкал-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планируется создание сети троп по предгорьям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Восточных Саян.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планируется создание тропы от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Култук до ул.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Шулута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чего в 2019 году была проведена межрегиональная экспедиция, по итогам работы которой, был намечен маршрут с отметками для будущих мест стоянок, отдыха, ночлега, смотровых площадок. Также прое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ючает в себя другие тропы по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районов для развития активного туризма, в том числе по направлению VIP-туризм. В 2019 году также был создан сайт проекта, велась работа по подготовке к подписанию международного соглашения на уровне ОИВ субъектов стран-участниц.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2030 году проект за счет создания сети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обустроенных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позволит существенно  снизить антропогенную нагрузку на охраняемой природной территории России и Монголии. В общей сложности проект позволит увеличить  туристический поток в 2 раза, привлекая 250 000 туристов ежегодно.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«Экологический парк под открытым небом «мыс Шаманский», расположенный между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ултук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г.Слюдянкой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территории которого расположены</w:t>
      </w:r>
      <w:r w:rsidRPr="008C4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природы "Мыс Шаманский", "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Слюдянское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озеро", а также одна из 3-х ключевых орнитологических территорий межнационального значения. Мыс Шаманский является самой южной точкой Байкала и символом его начала. В связи с чем, на  сегодняшний день прилегающая к озеру Байкал территория, является популярным местом дикого туризма, что является причиной высокой дигрессии почвенного покрова Центральной экологической зоны Байкальской природной территории. Для  снижения рекреационной нагрузки при совместном сотрудничестве с 2020 года с ведущими институтами Иркутской области планируется создание туристско-рекреационной зоны местного значения в виде комплексного парка с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экотропами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местами для рыбалки и смотровыми площадками по наблюдению за уникальной флорой и фауной Байкала.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Слюдянка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страна мраморных гор. В рамках данного бренда предполагается развитие индустриального (с познавательными целями) и детского туризма (с эколого-просветительскими целями). Развитие данных видов туризма будут способствовать два проекта.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«Архитектурно-индустриальный парк "Горная страна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Хамар-Дабан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располагаемый на</w:t>
      </w:r>
      <w:r w:rsidRPr="008C47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законсервированных шахт по добыче слюды и мрамора 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(1963 года), которая уже сегодня пользуется высоким туристическим спросом. Таким образом, историческая реконструкция индустриального комплекса по добыче слюды и мрамора с элементами индустриальной архитектуры и зоной интерактивного погружения позволит  расширить и увеличить туристский спрос к территории Южного Прибайкалья. В 2019 году проведена работа с инициаторами данного проекта, ведется работа по решению земельных и правовых вопросов.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«Семейный эколого-просветительский парк «Сказки Байкала» в стране мраморных гор в рамках развития проекта главного сказочного героя-бренда Иркутской области – «Байкальский Дед Мороз», который нанесен на Сказочную карту России. Байкальский Дед Мороз входит в состав участников туристско-рекреационного кластера Иркутской области, реализующейся Центром  кластерного развития Иркутской области, а также поддержан Агентством по туризму Иркутской области. В 2019 году администрацией района принято активное участие  в разработке технико-экономического обоснования данного проекта, финансирование которого было осуществлено в рамках регионального Центра кластерного развития. Концепция проекта подразумевает  развитие детского туризма с развлекательными  и эколого-познавательными целями. В состав парка «Сказки Байкала» помимо круглогодичной резиденции Байкальского Деда Мороза планируется расположение дома-музея Деда Мороза, парка эндемиков Южного Прибайкалья, территории развлечений, кафе,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глэмпинги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мастерских по изготовлению сувенирной продукции и прочего реализованные в сказочной и аутентичной байкальской природе архитектуре всех элементов парка.</w:t>
      </w:r>
    </w:p>
    <w:p w:rsidR="00862801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01" w:rsidRPr="008C4784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ТРЗ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-Байкальская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ТРЗ расположена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Байкальского муниципальных образований. Именно здесь сосредоточена основная часть коллективных средств размещения, представляя собой оплот туристкой инфраструктуры всей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Утулик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 мастеров (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Утуликское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подворье). В поселке Утулик проживают мастера народных промыслов. Вручную они создают удивительные сувениры – гончарные изделия, корзинки и другие предметы домашней утвари из лозы, мягкие текстильные куклы и игрушки, деревянную посуду, расписанную местными народными узорами и многое другое. В течение года в Утулике проводятся различные тематические событийные мероприятия, на которых мастера не только представляют всеобщему вниманию свои работы, но и предоставляют возможность попробовать себя в качестве умельца на своих мастер-классах.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Байкальск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спортивный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экополис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Байкала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которого планомерно создается комфортная городская среда, расположена единственная в территории инвестиционная площадка ОЭЗ "Ворота Байкала", горнолыжный курорт и проводятся различные событийные мероприятия. Данный проект планируется развивать как курортную зону с комфортабельным размещением с созданием сети авт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пеших- и водных маршрутов, строительством спортивных стадионов, роллерной трассы. В 2019 году уже начато строительство  многофункционального культурного центра, функционирование которого будет способствовать развитию инфраструктуры событийного туризма и привлечению туристского потока 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круглый год.</w:t>
      </w:r>
    </w:p>
    <w:p w:rsidR="00862801" w:rsidRPr="008C4784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ТРЗ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Портбайкальская</w:t>
      </w:r>
      <w:proofErr w:type="spellEnd"/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ТРЗ расположена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Основным центром притяжения ТРЗ является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железная дорога – историческая железная дорога в России. С 1956 г. КБЖД является тупиковым участком от ст.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(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ответствление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современного хода Транссибирской железнодорожной магистрали) до станции Байкал, принадлежащим ОАО «РЖД».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Большая часть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ТРЗ отнесена к Прибайкальскому Национальному парку - особо охраняемая природная территория (ООПТ) федерального значения. С 1996 года Прибайкальский национальный парк является частью Участка Всемирного Природного Наследия (ЮНЕСКО) «Озеро Байкал». Парк сохраняет уникальный растительный и животный мир, крупнейшее в Иркутской области собрание редких и исчезающих видов флоры и фауны.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туризма и туристской инфраструктуры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Портбайкальского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ввиду отсутствия собственных свободных земель и ограничений, накладываемых не только ЦЭЗ БПТ, но и национальным парком,  возможно только в рамках программ развития ФГБУ «Заповедное Прибайкалье» и ОАО «РЖД».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2801" w:rsidRPr="008C4784" w:rsidRDefault="00862801" w:rsidP="00862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ТРЗ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Муринско-Снежнинская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согласно Правилам отнесена к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Муринско-Снежнинской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ТРЗ.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данного ТРЗ является центром туристического притяжения за счет наличия в ней множества природных достопримечательностей – Теплые озера, Сосна кедровая №282, гора «Шапка Мономаха», тропа на пик Порожистый, а также часовня Святого пророка царя Соломона. При имеющемся туристическом спросе наблюдается высокая - </w:t>
      </w:r>
      <w:r w:rsidRPr="008C47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дигрессии почвенного покрова территории. Согласно Приказу министерства природных ресурсов РФ от 05.03.2010 года №63 допустима лишь </w:t>
      </w:r>
      <w:r w:rsidRPr="008C47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стадия дигрессии. При выявлении </w:t>
      </w:r>
      <w:r w:rsidRPr="008C47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стадии дигрессии необходимо планировать мероприятия по рекультивации территории с восстановлением коренной растительности. Рекомендовано развитие туризма только с одновременным созданием соответствующей инфраструктуры в целях недопущения еще большего разрушения почвенных покровов, а также рекомендовано перераспределение туристских потоков на другие ТРЗ.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работы над реализацией проектов в ТРЗ в 2019 году проводилась сопутствующая работа, направленная на популяризацию туристской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«Южное Прибайкалье» и создание условий для благоприятного отдыха в ней.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была издана карта Южного Прибайкалья с дополненной реальностью, которая содержит в себе описание крупных населенных пунктов муниципального района и их достопримечательностей природного, архитектурного  и инфраструктурного характера, с объектами размещения, питания, оздоровления, отдыха, а также содержащая красочный видеоролик, повествующий о туристических мероприятиях, которые проходят на территории района на протяжении календарного года (тираж 3000 </w:t>
      </w:r>
      <w:proofErr w:type="spellStart"/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 активно функционировать открытая  рабочая группа по туризму при координационном совете в области развития малого, среднего предпринимательства и туризма при мэре муниципального образования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Работа группы нацелена на реализацию основных задач – масштабирование событийных мероприятий, увеличение туристического потока и работа над целевой аудиторией мероприятий. Так, в декабре 2019 года с целью увеличения детской целевой аудитории на мероприятие «День рождения Байкальского Деда Мороза» была проведена совместная работа с администрацией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 и Иркутской региональной общественной организацией развития детского и молодежного туризма «Юность без границ». В итоге проведенной работы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посетили 20 детей из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Тункинского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 однодневным пребыванием на территории и 56 детей из Иркутского района с двухдневным пребыванием и экскурсионной программой, объем туристических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в общей сложности  составил более 90 тыс. рублей. </w:t>
      </w:r>
    </w:p>
    <w:p w:rsidR="00862801" w:rsidRPr="008C4784" w:rsidRDefault="00862801" w:rsidP="00862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 целью популяризации отдыха на Южном Прибайкалье, администрацией района и поселений совместно с предпринимательским сообществом при поддержке регионального Агентства по туризму  в 2019 году было принято участие и проведены такие событийные  и  </w:t>
      </w:r>
      <w:r w:rsidRPr="008C47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MICE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как:  </w:t>
      </w:r>
    </w:p>
    <w:p w:rsidR="00862801" w:rsidRPr="008C4784" w:rsidRDefault="00862801" w:rsidP="00862801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- 22 Международная туристская выставка «Байкалтур-2019» в г. Иркутске, в которой участвовали представители Китая, Монголии, Южной Кореи, республики Бурятия, Забайкальского, Приморского краев, Иркутской области, городов Севастополя, Санкт-Петербурга, Новосибирска, Красноярска. </w:t>
      </w:r>
      <w:proofErr w:type="gramEnd"/>
    </w:p>
    <w:p w:rsidR="00862801" w:rsidRPr="008C4784" w:rsidRDefault="00862801" w:rsidP="008628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был представлен в совместной экспозиции трех Прибайкальских территорий с  Иркутским 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Ольхонским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районами, а также ОЭЗ, входящим в состав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 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приняли участие в выставке представители предпринимательского сообщества: гостиничный комплекс «Байкальский рай» (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Култук), автодорожный комплекс «Тракстоп38» (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Култук), и представители музеев: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«Историко-минералогический музей», музей «Природа Южного Прибайкалья». </w:t>
      </w:r>
    </w:p>
    <w:p w:rsidR="00862801" w:rsidRPr="008C4784" w:rsidRDefault="00862801" w:rsidP="00862801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подготовлена при поддержке муниципальных образований поселений района, народных мастеров и творческих коллективов, а также 2 некоммерческих организаций. Совместная экспозиция Прибайкальского района Иркутской области на выставке «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Байкалтур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была организована Центром  кластерного развития Иркутской области, а также Агентством по туризму Иркутской области. </w:t>
      </w:r>
    </w:p>
    <w:p w:rsidR="00862801" w:rsidRPr="008C4784" w:rsidRDefault="00862801" w:rsidP="00862801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Открытие летнего туристического сезона на Южном Прибайкалье на площадке Байкальского горнолыжного курорта «Гора Соболиная» в г. Байкальске проведением фестиваля «Территория лета», где туристические возможности представляли музеи, предприятия общественного питания, организации прикладного искусства всего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 а также в рамках него прошел в п. Утулик Международный фестиваль современного искусства «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Перворыба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направленный на поиск новых художественных форм современного искусства.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проведен на базе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Oll-tera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Мигунова) с участием местных ремесленников  -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Михайлюка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Альхименко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А.М., Яворской И.А., а также представителями художественного сообщества и  мастеров прикладного искусства из г. Иркутска, основной задачей которых стало создание дополнительных объектов показа в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локационной зоне в целях поддержания развиваемого бренда поселка как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Утуликское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подворье. </w:t>
      </w:r>
      <w:proofErr w:type="gramEnd"/>
    </w:p>
    <w:p w:rsidR="00862801" w:rsidRPr="008C4784" w:rsidRDefault="00862801" w:rsidP="00862801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развития гастрономического туризма в июле 2019 года прошел 2-ой открытый гастрономический фестиваль национальной кухни Восточной Сибири «Байкальский вкус», который направлен на повышение уровня профессионального мастерства специалистов, популяризацию рабочей профессии повара, повышение престижа в обществе, привлечение молодых инициативных людей, получение рабочей профессии, расширение и укрепление культурных связей между народами посредством кулинарных и национальных традиций.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мероприятии приняли участие 10 шеф-поваров из Иркутской области.</w:t>
      </w:r>
    </w:p>
    <w:p w:rsidR="00862801" w:rsidRPr="008C4784" w:rsidRDefault="00862801" w:rsidP="00862801">
      <w:pPr>
        <w:tabs>
          <w:tab w:val="left" w:pos="7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продвижения Южного Прибайкалья как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-привлекательной территории,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принимал участие в Международном фестивале зимних игр на Байкале «ЗИМНИАДА-2019» 2-ым межрегиональным фестивалем зимних волшебников «Ледяная сказка Байкала». Фестиваль проходил в 2019 году на территории 2 муниципальных образований района. Мероприятие носит международный характер, так как в нем принимали участие гости из Удмуртской Республики (Тол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Республики Татарстан (Кэш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Финляндии (Санта-Клаус —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Йоулупукки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Таким образом, сказочный бренд Южного Прибайкалья – «Байкальский Дед Мороз» с каждым годом приобретает все большую популярность не только на территории Иркутской области, но и за ее пределами.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охват по проведенным мероприятиям составил более 20 000 человек (прирост в 2,8 раза по сравнению с прошлым годом). 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в 2019 году были поддержаны в части финансового возмещения затрат на трансфер, местные мастера-ремесленники, принявшие участие во Всероссийском конкурсе «Туристический сувенир» и ставшими призерами в нескольких номинациях. </w:t>
      </w:r>
    </w:p>
    <w:p w:rsidR="00862801" w:rsidRPr="008C4784" w:rsidRDefault="00862801" w:rsidP="00862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участию в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общенациональном финале, проходившем в Саратове были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приглашены авторы 514 туристических сувениров из 52 регионов страны, ставшие лауреатами окружных этапов и региональных конкурсов в 2019 году. Из них авторы 401 туристического сувенира из 45 регионов смогли очно презентовать свои работы в рамках выставки в Саратове. От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финал конкурса вышли 6 сувениров в различной номинации, созданных  Ассоциацией «Центр туризма, музейного дела и художественных ремесел», преподавателями ДДТ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людянка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Клубом семейного воспитания «Вдохновение». </w:t>
      </w:r>
    </w:p>
    <w:p w:rsidR="00862801" w:rsidRPr="008C4784" w:rsidRDefault="00862801" w:rsidP="0086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Призерами всероссийского конкурса "Туристический сувенир" стали 2 сувенира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гран-при </w:t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spellStart"/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Кругобайкальская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железная дорога КБЖД» (ручная работа), Русских Татьяна Юрьевна и 2 место –«Байкальская ключница», Томилова Елена Григорьевна.</w:t>
      </w:r>
    </w:p>
    <w:p w:rsidR="00862801" w:rsidRDefault="00862801" w:rsidP="0086280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администрацией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велась активная работа по созданию туристической инфраструктуры на территории Южного Прибайкалья. Для этого в 2019 году был создан туристско-информационный центр (далее-ТИЦ)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базе Центральной библиотеки г.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позволит расширять сеть туристической инфраструктуры за счет создания таких центров на базе библиотек всех поселений района. Также в 2019 году была проведена совместная работа администрации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Агентства по туризму Иркутской области по разработке и установке 44 знаков туристской навигации на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счет средств регионального бюджета. Данные меры позволяют создать благоприятный имидж территории Южного Прибайкалья, узнаваемый по всей России, популяризировать объекты туристической индустрии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а также увеличить турпоток в территорию и сделать пребывание туристов более комфортным и насыщенным.</w:t>
      </w:r>
    </w:p>
    <w:p w:rsidR="00862801" w:rsidRDefault="00862801" w:rsidP="008628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801" w:rsidRPr="008C4784" w:rsidRDefault="00862801" w:rsidP="008628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направлениями работы на 2020 год определены:</w:t>
      </w:r>
    </w:p>
    <w:p w:rsidR="00862801" w:rsidRPr="008C4784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международного проекта «Байкал-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Хубсугул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62801" w:rsidRPr="008C4784" w:rsidRDefault="00862801" w:rsidP="008628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с Институтом географии им. В.Б.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Сочавы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 в проекте научного исследования территории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теме «Эколого-географические основы управления туристско-рекреационным развитием муниципальных районов центральной экологической зоны Байкальской природной территории», реализуемого институтом в рамках государственного проекта «Общественно географические факторы безопасности регионов Сибири с позиции </w:t>
      </w:r>
      <w:r w:rsidRPr="00C00B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 развития» при финансовой поддержке Российского фонда фундаментальных</w:t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исследований и Правительства</w:t>
      </w:r>
      <w:proofErr w:type="gram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области.   </w:t>
      </w:r>
    </w:p>
    <w:p w:rsidR="00862801" w:rsidRPr="008C4784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легализации гостиничного бизнеса и созданию условий для его работы в правовом поле (наличие у каждого представителя гостиничного бизнеса природоохранного паспорта объекта туристской индустрии, прохождение классификации с присвоением категории каждым КСР).</w:t>
      </w:r>
    </w:p>
    <w:p w:rsidR="00862801" w:rsidRPr="008C4784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продвижению территории в рамках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дестинации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Южного Прибайкалья на внутреннем и международном рынке.</w:t>
      </w:r>
    </w:p>
    <w:p w:rsidR="00862801" w:rsidRPr="008C4784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сети туристско-информационных центров охватывающих всю территорию </w:t>
      </w:r>
      <w:proofErr w:type="spellStart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862801" w:rsidRPr="008C4784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создании новых аттракций на Южном Прибайкалье (реализация проектов по локациям, благоустройство первой улицы на юге Байкала и др.).</w:t>
      </w:r>
    </w:p>
    <w:p w:rsidR="00862801" w:rsidRPr="00C00BC0" w:rsidRDefault="00862801" w:rsidP="00862801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4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вхождением в различные федеральные и региональные проекты по созданию необходимой инфраструктуры, перераспределению потоков людей в нужном </w:t>
      </w:r>
      <w:r w:rsidRPr="00C00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направлении, организации их досуга и минимизации нанесения вреда озеру неорганизованным туризмом.</w:t>
      </w:r>
    </w:p>
    <w:p w:rsidR="00862801" w:rsidRDefault="00862801" w:rsidP="00862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E4" w:rsidRDefault="00202AE4"/>
    <w:sectPr w:rsidR="0020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366217"/>
      <w:docPartObj>
        <w:docPartGallery w:val="Page Numbers (Bottom of Page)"/>
        <w:docPartUnique/>
      </w:docPartObj>
    </w:sdtPr>
    <w:sdtEndPr/>
    <w:sdtContent>
      <w:p w:rsidR="008833FB" w:rsidRDefault="008628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833FB" w:rsidRDefault="0086280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1"/>
    <w:rsid w:val="00202AE4"/>
    <w:rsid w:val="0086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801"/>
  </w:style>
  <w:style w:type="table" w:customStyle="1" w:styleId="32">
    <w:name w:val="Сетка таблицы32"/>
    <w:basedOn w:val="a1"/>
    <w:next w:val="a5"/>
    <w:rsid w:val="0086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801"/>
  </w:style>
  <w:style w:type="table" w:customStyle="1" w:styleId="32">
    <w:name w:val="Сетка таблицы32"/>
    <w:basedOn w:val="a1"/>
    <w:next w:val="a5"/>
    <w:rsid w:val="00862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6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6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8\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КСР, ед.</a:t>
            </a:r>
          </a:p>
        </c:rich>
      </c:tx>
      <c:layout>
        <c:manualLayout>
          <c:xMode val="edge"/>
          <c:yMode val="edge"/>
          <c:x val="0.4186039594559399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2495714010560978E-2"/>
          <c:y val="0.17971054372581277"/>
          <c:w val="0.42743071381032566"/>
          <c:h val="0.656326298744081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КСР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Санатории</c:v>
                </c:pt>
                <c:pt idx="1">
                  <c:v>Гостиниц/хостелы</c:v>
                </c:pt>
                <c:pt idx="2">
                  <c:v>Меблированные комнаты</c:v>
                </c:pt>
                <c:pt idx="3">
                  <c:v>Базы (дома) отхыха, кемпинги</c:v>
                </c:pt>
                <c:pt idx="4">
                  <c:v>Тур.комплексы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18</c:v>
                </c:pt>
                <c:pt idx="2">
                  <c:v>1</c:v>
                </c:pt>
                <c:pt idx="3">
                  <c:v>22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121588327776781"/>
          <c:y val="9.2824482005585379E-2"/>
          <c:w val="0.43981364765829556"/>
          <c:h val="0.9036427931593706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тур потока, тыс.чел.</a:t>
            </a:r>
          </a:p>
        </c:rich>
      </c:tx>
      <c:layout>
        <c:manualLayout>
          <c:xMode val="edge"/>
          <c:yMode val="edge"/>
          <c:x val="0.1308035702196454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189168921452385"/>
          <c:y val="0.24542751999342119"/>
          <c:w val="0.58747534936511314"/>
          <c:h val="0.50216539764212642"/>
        </c:manualLayout>
      </c:layout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Лист1!$A$7:$A$18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Лист1!$AQ$7:$AQ$18</c:f>
              <c:numCache>
                <c:formatCode>General</c:formatCode>
                <c:ptCount val="12"/>
                <c:pt idx="0">
                  <c:v>31.216999999999999</c:v>
                </c:pt>
                <c:pt idx="1">
                  <c:v>27.152999999999999</c:v>
                </c:pt>
                <c:pt idx="2">
                  <c:v>36.448</c:v>
                </c:pt>
                <c:pt idx="3">
                  <c:v>12.020999999999987</c:v>
                </c:pt>
                <c:pt idx="4">
                  <c:v>11.150999999999996</c:v>
                </c:pt>
                <c:pt idx="5">
                  <c:v>21.801999999999992</c:v>
                </c:pt>
                <c:pt idx="6">
                  <c:v>34.126000000000005</c:v>
                </c:pt>
                <c:pt idx="7">
                  <c:v>28.233000000000004</c:v>
                </c:pt>
                <c:pt idx="8">
                  <c:v>15.074000000000012</c:v>
                </c:pt>
                <c:pt idx="9">
                  <c:v>12.745999999999981</c:v>
                </c:pt>
                <c:pt idx="10">
                  <c:v>2.2210000000000321</c:v>
                </c:pt>
                <c:pt idx="11">
                  <c:v>21.900999999999982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8875904"/>
        <c:axId val="358877440"/>
      </c:radarChart>
      <c:catAx>
        <c:axId val="358875904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8877440"/>
        <c:crosses val="autoZero"/>
        <c:auto val="1"/>
        <c:lblAlgn val="ctr"/>
        <c:lblOffset val="100"/>
        <c:noMultiLvlLbl val="0"/>
      </c:catAx>
      <c:valAx>
        <c:axId val="3588774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8875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12924520798537"/>
          <c:y val="0.75472406680235471"/>
          <c:w val="0.28333234345560826"/>
          <c:h val="0.12688801339407699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популярным точкам притяжения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5650452780903E-2"/>
          <c:y val="0.29816388336073374"/>
          <c:w val="0.9391542162998856"/>
          <c:h val="0.616133168797291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126.7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80.400000000000006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Событийные мероприятия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19.899999999999999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358917248"/>
        <c:axId val="358918784"/>
        <c:axId val="0"/>
      </c:bar3DChart>
      <c:catAx>
        <c:axId val="35891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8918784"/>
        <c:crosses val="autoZero"/>
        <c:auto val="0"/>
        <c:lblAlgn val="ctr"/>
        <c:lblOffset val="10"/>
        <c:tickLblSkip val="1"/>
        <c:noMultiLvlLbl val="0"/>
      </c:catAx>
      <c:valAx>
        <c:axId val="35891878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358917248"/>
        <c:crosses val="autoZero"/>
        <c:crossBetween val="between"/>
      </c:valAx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3.4993585678803792E-2"/>
          <c:y val="0.16155438262524877"/>
          <c:w val="0.9"/>
          <c:h val="0.1143920725967151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2019 год, %</a:t>
            </a:r>
          </a:p>
        </c:rich>
      </c:tx>
      <c:layout>
        <c:manualLayout>
          <c:xMode val="edge"/>
          <c:yMode val="edge"/>
          <c:x val="9.5713139279696061E-2"/>
          <c:y val="4.7116570676015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64756070881644E-2"/>
          <c:y val="0.34620583500368979"/>
          <c:w val="0.95187048785823669"/>
          <c:h val="0.4134401387268595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0.84399999999999997</c:v>
                </c:pt>
                <c:pt idx="1">
                  <c:v>0.95</c:v>
                </c:pt>
                <c:pt idx="2">
                  <c:v>0.92</c:v>
                </c:pt>
                <c:pt idx="3">
                  <c:v>0.96299999999999997</c:v>
                </c:pt>
                <c:pt idx="4">
                  <c:v>0.73499999999999999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dLbl>
              <c:idx val="0"/>
              <c:layout>
                <c:manualLayout>
                  <c:x val="4.375103456555663E-3"/>
                  <c:y val="-7.0666692015173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875517282778268E-3"/>
                  <c:y val="-7.655558301643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477780101390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3003533568904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0.156</c:v>
                </c:pt>
                <c:pt idx="1">
                  <c:v>0.05</c:v>
                </c:pt>
                <c:pt idx="2">
                  <c:v>0.08</c:v>
                </c:pt>
                <c:pt idx="3">
                  <c:v>3.6999999999999998E-2</c:v>
                </c:pt>
                <c:pt idx="4">
                  <c:v>0.26500000000000001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59010688"/>
        <c:axId val="359012224"/>
      </c:barChart>
      <c:catAx>
        <c:axId val="359010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59012224"/>
        <c:crosses val="autoZero"/>
        <c:auto val="1"/>
        <c:lblAlgn val="ctr"/>
        <c:lblOffset val="100"/>
        <c:noMultiLvlLbl val="0"/>
      </c:catAx>
      <c:valAx>
        <c:axId val="35901222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35901068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Салдушева Анастасия Валерьевна</dc:creator>
  <cp:lastModifiedBy>Салдушева Анастасия Валерьевна</cp:lastModifiedBy>
  <cp:revision>1</cp:revision>
  <dcterms:created xsi:type="dcterms:W3CDTF">2020-07-16T08:24:00Z</dcterms:created>
  <dcterms:modified xsi:type="dcterms:W3CDTF">2020-07-16T08:35:00Z</dcterms:modified>
</cp:coreProperties>
</file>